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10FDF7EF" w:rsidR="004B1FF5" w:rsidRDefault="00894152" w:rsidP="004B1FF5">
      <w:pPr>
        <w:jc w:val="center"/>
      </w:pPr>
      <w:r>
        <w:t xml:space="preserve">XYZ </w:t>
      </w:r>
      <w:r w:rsidR="00CF3218">
        <w:t>403(b)</w:t>
      </w:r>
      <w:r>
        <w:t xml:space="preserve"> Plan</w:t>
      </w:r>
      <w:r w:rsidR="00A6421B">
        <w:t xml:space="preserve"> </w:t>
      </w:r>
      <w:r w:rsidR="004B1FF5">
        <w:t>(the “Plan”)</w:t>
      </w:r>
    </w:p>
    <w:p w14:paraId="3931D5F6" w14:textId="77777777" w:rsidR="004B1FF5" w:rsidRDefault="004B1FF5" w:rsidP="004B1FF5">
      <w:pPr>
        <w:jc w:val="center"/>
      </w:pPr>
    </w:p>
    <w:p w14:paraId="72F2C8CA" w14:textId="10EDB0B3" w:rsidR="00467B06" w:rsidRPr="00990E7B"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w:t>
      </w:r>
      <w:r w:rsidRPr="00990E7B">
        <w:t>in Section 414</w:t>
      </w:r>
      <w:r w:rsidR="007F77FF" w:rsidRPr="00990E7B">
        <w:t>(v)</w:t>
      </w:r>
      <w:r w:rsidRPr="00990E7B">
        <w:t xml:space="preserve"> of the Internal Revenue Code (the “Code”).</w:t>
      </w:r>
      <w:r w:rsidR="00467B06" w:rsidRPr="00990E7B">
        <w:t xml:space="preserve">  </w:t>
      </w:r>
    </w:p>
    <w:p w14:paraId="19E200F9" w14:textId="77777777" w:rsidR="00EA0A8A" w:rsidRPr="00990E7B" w:rsidRDefault="00EA0A8A" w:rsidP="004B1FF5"/>
    <w:p w14:paraId="14654354" w14:textId="6D68B29D" w:rsidR="00EA0A8A" w:rsidRPr="00990E7B" w:rsidRDefault="00EA0A8A" w:rsidP="004B1FF5">
      <w:r w:rsidRPr="00990E7B">
        <w:t xml:space="preserve">These practices and procedures are prepared in </w:t>
      </w:r>
      <w:r w:rsidR="0077254D" w:rsidRPr="00990E7B">
        <w:t>good faith</w:t>
      </w:r>
      <w:r w:rsidRPr="00990E7B">
        <w:t xml:space="preserve"> based on the </w:t>
      </w:r>
      <w:r w:rsidR="00083F6E" w:rsidRPr="00990E7B">
        <w:t xml:space="preserve">Treasury </w:t>
      </w:r>
      <w:r w:rsidRPr="00990E7B">
        <w:t xml:space="preserve">Regulations issued by the Internal Revenue Service (“IRS”).  </w:t>
      </w:r>
      <w:r w:rsidR="00CF59A6" w:rsidRPr="00990E7B">
        <w:t>T</w:t>
      </w:r>
      <w:r w:rsidRPr="00990E7B">
        <w:t>hese practices and procedures will be amended, as necessary.</w:t>
      </w:r>
    </w:p>
    <w:p w14:paraId="1A32BE55" w14:textId="77777777" w:rsidR="00467B06" w:rsidRPr="00990E7B" w:rsidRDefault="00467B06" w:rsidP="004B1FF5"/>
    <w:p w14:paraId="7B56336C" w14:textId="79F37974" w:rsidR="004B1FF5" w:rsidRDefault="00467B06" w:rsidP="004B1FF5">
      <w:r w:rsidRPr="00990E7B">
        <w:t xml:space="preserve">Effective January 1, 2026, Code Section </w:t>
      </w:r>
      <w:r w:rsidR="007F77FF" w:rsidRPr="00990E7B">
        <w:t xml:space="preserve">414(v)(7) </w:t>
      </w:r>
      <w:r w:rsidRPr="00990E7B">
        <w:t>requires that</w:t>
      </w:r>
      <w:r>
        <w:t xml:space="preserve"> Plan participants classified as Highly Paid Individuals (“HPIs”) may only make catch-up contributions as </w:t>
      </w:r>
      <w:r w:rsidR="00CF3218">
        <w:t>Roth.</w:t>
      </w:r>
      <w:r>
        <w:t xml:space="preserve">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rsidTr="00411FE1">
        <w:tc>
          <w:tcPr>
            <w:tcW w:w="2880" w:type="dxa"/>
          </w:tcPr>
          <w:p w14:paraId="7C193856" w14:textId="77777777" w:rsidR="00467B06" w:rsidRDefault="00467B06" w:rsidP="00411FE1">
            <w:r>
              <w:t>2025</w:t>
            </w:r>
          </w:p>
        </w:tc>
        <w:tc>
          <w:tcPr>
            <w:tcW w:w="2795" w:type="dxa"/>
          </w:tcPr>
          <w:p w14:paraId="6E9336F2" w14:textId="56FC644F" w:rsidR="00467B06" w:rsidRDefault="00467B06" w:rsidP="00411FE1">
            <w:r>
              <w:t>$1</w:t>
            </w:r>
            <w:r w:rsidR="00C11750">
              <w:t>50</w:t>
            </w:r>
            <w:r>
              <w:t>,000</w:t>
            </w:r>
          </w:p>
        </w:tc>
      </w:tr>
      <w:tr w:rsidR="00467B06" w14:paraId="5E92F4B8" w14:textId="77777777" w:rsidTr="00411FE1">
        <w:tc>
          <w:tcPr>
            <w:tcW w:w="2880" w:type="dxa"/>
          </w:tcPr>
          <w:p w14:paraId="15E171E4" w14:textId="77777777" w:rsidR="00467B06" w:rsidRDefault="00467B06" w:rsidP="00411FE1">
            <w:r>
              <w:t>2026</w:t>
            </w:r>
          </w:p>
        </w:tc>
        <w:tc>
          <w:tcPr>
            <w:tcW w:w="2795" w:type="dxa"/>
          </w:tcPr>
          <w:p w14:paraId="04DAF26D" w14:textId="77777777" w:rsidR="00467B06" w:rsidRDefault="00467B06" w:rsidP="00411FE1">
            <w:r>
              <w:t>$</w:t>
            </w:r>
          </w:p>
        </w:tc>
      </w:tr>
      <w:tr w:rsidR="00467B06" w14:paraId="022AB770" w14:textId="77777777" w:rsidTr="00411FE1">
        <w:tc>
          <w:tcPr>
            <w:tcW w:w="2880" w:type="dxa"/>
          </w:tcPr>
          <w:p w14:paraId="46C32EBB" w14:textId="77777777" w:rsidR="00467B06" w:rsidRDefault="00467B06" w:rsidP="00411FE1">
            <w:r>
              <w:t>2027</w:t>
            </w:r>
          </w:p>
        </w:tc>
        <w:tc>
          <w:tcPr>
            <w:tcW w:w="2795" w:type="dxa"/>
          </w:tcPr>
          <w:p w14:paraId="48E48763" w14:textId="77777777" w:rsidR="00467B06" w:rsidRDefault="00467B06" w:rsidP="00411FE1">
            <w:r>
              <w:t>$</w:t>
            </w:r>
          </w:p>
        </w:tc>
      </w:tr>
    </w:tbl>
    <w:p w14:paraId="26ADF967" w14:textId="5C8E3E1F" w:rsidR="00467B06" w:rsidRPr="00467B06" w:rsidRDefault="00467B06" w:rsidP="004B1FF5"/>
    <w:p w14:paraId="77E3D6FC" w14:textId="2067FF13" w:rsidR="00931B11" w:rsidRDefault="00357AAB" w:rsidP="004B1FF5">
      <w:r>
        <w:t xml:space="preserve">For purposes of applying this limit, </w:t>
      </w:r>
      <w:r w:rsidR="00931B11">
        <w:t xml:space="preserve">there are different ways for the </w:t>
      </w:r>
      <w:r w:rsidR="00BA2A14">
        <w:t>FICA wages</w:t>
      </w:r>
      <w:r w:rsidR="00931B11">
        <w:t xml:space="preserve"> to be determined</w:t>
      </w:r>
      <w:r w:rsidR="008273A3">
        <w:t xml:space="preserve">.  </w:t>
      </w:r>
      <w:r w:rsidR="00626515">
        <w:t xml:space="preserve">The general rule considers compensation only from a specific employer in determining whether the deferrals from compensation paid by such employer need to be treated as Roth amounts.  However, there are other methods that may be </w:t>
      </w:r>
      <w:r w:rsidR="008273A3">
        <w:t>elected</w:t>
      </w:r>
      <w:r w:rsidR="00626515">
        <w:t xml:space="preserve">.  </w:t>
      </w:r>
      <w:r w:rsidR="00931B11">
        <w:t xml:space="preserve">As an option, </w:t>
      </w:r>
      <w:r w:rsidR="00BF2FB9">
        <w:t xml:space="preserve">a plan may provide that the </w:t>
      </w:r>
      <w:r w:rsidR="00931B11">
        <w:t xml:space="preserve">Employer </w:t>
      </w:r>
      <w:r w:rsidR="00BF2FB9">
        <w:t xml:space="preserve">must </w:t>
      </w:r>
      <w:r w:rsidR="00931B11">
        <w:t xml:space="preserve">aggregate the payroll </w:t>
      </w:r>
      <w:r w:rsidR="00626515">
        <w:t xml:space="preserve">paid to each employee from </w:t>
      </w:r>
      <w:r w:rsidR="00931B11">
        <w:t xml:space="preserve">all commonly owned employers that are using the same payroll provider or </w:t>
      </w:r>
      <w:r w:rsidR="00626515">
        <w:t xml:space="preserve">from </w:t>
      </w:r>
      <w:r w:rsidR="00931B11">
        <w:t xml:space="preserve">all members of a controlled/affiliated service group or any disregarded entities. </w:t>
      </w:r>
    </w:p>
    <w:p w14:paraId="09C8D731" w14:textId="77777777" w:rsidR="00931B11" w:rsidRDefault="00931B11" w:rsidP="004B1FF5"/>
    <w:p w14:paraId="0FAB8D81" w14:textId="4F0E7CCA" w:rsidR="00626515" w:rsidRDefault="00931B11" w:rsidP="004B1FF5">
      <w:r>
        <w:tab/>
      </w:r>
      <w:r>
        <w:rPr>
          <w:b/>
          <w:bCs/>
        </w:rPr>
        <w:t>Example</w:t>
      </w:r>
      <w:r w:rsidR="00D1719C">
        <w:rPr>
          <w:b/>
          <w:bCs/>
        </w:rPr>
        <w:t>:</w:t>
      </w:r>
      <w:r w:rsidR="00D1719C">
        <w:t xml:space="preserve"> Keith</w:t>
      </w:r>
      <w:r w:rsidR="00626515">
        <w:t xml:space="preserve"> is an employee of both ABC and DEF companies, both of which are controlled group members covered by the XYZ </w:t>
      </w:r>
      <w:r w:rsidR="00CF3218">
        <w:t>403(b)</w:t>
      </w:r>
      <w:r w:rsidR="00626515">
        <w:t xml:space="preserve"> Plan, sponsored by XYZ, which is also a controlled group member.  </w:t>
      </w:r>
      <w:r w:rsidR="00BF2FB9">
        <w:t xml:space="preserve">The </w:t>
      </w:r>
      <w:r w:rsidR="00626515">
        <w:t xml:space="preserve">XYZ </w:t>
      </w:r>
      <w:r w:rsidR="00BF2FB9">
        <w:t xml:space="preserve">Plan </w:t>
      </w:r>
      <w:r w:rsidR="00626515">
        <w:t xml:space="preserve">applies the “general rule” for compensation purposes.  </w:t>
      </w:r>
      <w:r w:rsidR="00BF2FB9">
        <w:t xml:space="preserve">Therefore, the XYZ Plan </w:t>
      </w:r>
      <w:r w:rsidR="00626515">
        <w:t xml:space="preserve">looks at the </w:t>
      </w:r>
      <w:r w:rsidR="00BA2A14">
        <w:t>FICA wages</w:t>
      </w:r>
      <w:r w:rsidR="00626515">
        <w:t xml:space="preserve"> that Keith earned from ABC </w:t>
      </w:r>
      <w:r w:rsidR="00BF2FB9">
        <w:t xml:space="preserve">in the prior year </w:t>
      </w:r>
      <w:r w:rsidR="00626515">
        <w:t xml:space="preserve">to determine if Keith is an HPI in relation to the deferrals made from his ABC payroll.  If Keith earned </w:t>
      </w:r>
      <w:r w:rsidR="00115699">
        <w:t xml:space="preserve">FICA wages of </w:t>
      </w:r>
      <w:r w:rsidR="00626515">
        <w:t>more than $1</w:t>
      </w:r>
      <w:r w:rsidR="00C11750">
        <w:t>50</w:t>
      </w:r>
      <w:r w:rsidR="00626515">
        <w:t>,000 in 2025 as an employee of ABC, he will be an HPI in relation to the deferrals taken from his ABC payroll</w:t>
      </w:r>
      <w:r w:rsidR="00115699">
        <w:t xml:space="preserve"> in 2026</w:t>
      </w:r>
      <w:r w:rsidR="00626515">
        <w:t xml:space="preserve">.  </w:t>
      </w:r>
      <w:r w:rsidR="00BF2FB9">
        <w:t xml:space="preserve">The Plan then examines Keith’s </w:t>
      </w:r>
      <w:r w:rsidR="00BA2A14">
        <w:t>FICA wages</w:t>
      </w:r>
      <w:r w:rsidR="00BF2FB9">
        <w:t xml:space="preserve"> earned from DEF. </w:t>
      </w:r>
      <w:r w:rsidR="00626515">
        <w:t>If Keith earns less than $1</w:t>
      </w:r>
      <w:r w:rsidR="00C11750">
        <w:t>50</w:t>
      </w:r>
      <w:r w:rsidR="00626515">
        <w:t>,000 as an employee of DEF, he is not an HPI in relation to deferrals paid from his DEF payroll.</w:t>
      </w:r>
    </w:p>
    <w:p w14:paraId="448A1D1A" w14:textId="77777777" w:rsidR="00626515" w:rsidRDefault="00626515" w:rsidP="004B1FF5"/>
    <w:p w14:paraId="44C24FCD" w14:textId="11E62235" w:rsidR="00931B11" w:rsidRDefault="00626515" w:rsidP="008273A3">
      <w:pPr>
        <w:ind w:firstLine="720"/>
      </w:pPr>
      <w:r>
        <w:rPr>
          <w:b/>
          <w:bCs/>
        </w:rPr>
        <w:t>Example</w:t>
      </w:r>
      <w:r w:rsidR="00D1719C">
        <w:rPr>
          <w:b/>
          <w:bCs/>
        </w:rPr>
        <w:t>: Les</w:t>
      </w:r>
      <w:r w:rsidR="00931B11">
        <w:t xml:space="preserve"> is an employee of both ABC and DEF companies, both of which are controlled group members covered by the </w:t>
      </w:r>
      <w:r w:rsidR="00392A6D" w:rsidRPr="00392A6D">
        <w:t xml:space="preserve">XYZ </w:t>
      </w:r>
      <w:r w:rsidR="00392A6D">
        <w:t>Plan</w:t>
      </w:r>
      <w:r w:rsidR="00931B11">
        <w:t xml:space="preserve">, sponsored by XYZ, also a controlled group member.  </w:t>
      </w:r>
      <w:r>
        <w:t xml:space="preserve">To simplify administration, </w:t>
      </w:r>
      <w:r w:rsidR="00931B11">
        <w:t>XYZ elect</w:t>
      </w:r>
      <w:r>
        <w:t>s</w:t>
      </w:r>
      <w:r w:rsidR="00931B11">
        <w:t xml:space="preserve"> in its Plan document to aggregate payroll </w:t>
      </w:r>
      <w:r w:rsidR="00BF2FB9">
        <w:t>from all members of the controlled group</w:t>
      </w:r>
      <w:r>
        <w:t xml:space="preserve">, </w:t>
      </w:r>
      <w:r w:rsidR="00BF2FB9">
        <w:t xml:space="preserve">totaling </w:t>
      </w:r>
      <w:r>
        <w:t xml:space="preserve">all </w:t>
      </w:r>
      <w:r w:rsidR="00BA2A14">
        <w:t>FICA wages</w:t>
      </w:r>
      <w:r w:rsidR="00BF2FB9">
        <w:t xml:space="preserve"> </w:t>
      </w:r>
      <w:r>
        <w:t xml:space="preserve">amounts paid by </w:t>
      </w:r>
      <w:r w:rsidR="00BF2FB9">
        <w:t xml:space="preserve">ABC and DEF as </w:t>
      </w:r>
      <w:r>
        <w:t xml:space="preserve">compensation </w:t>
      </w:r>
      <w:r w:rsidR="00BF2FB9">
        <w:t xml:space="preserve">when </w:t>
      </w:r>
      <w:r>
        <w:t>applying the $1</w:t>
      </w:r>
      <w:r w:rsidR="00C11750">
        <w:t>50</w:t>
      </w:r>
      <w:r>
        <w:t>,000 HPI compensation limit</w:t>
      </w:r>
      <w:r w:rsidR="00931B11">
        <w:t xml:space="preserve">.  If Les’s </w:t>
      </w:r>
      <w:r w:rsidR="00BA2A14">
        <w:t>FICA wages</w:t>
      </w:r>
      <w:r w:rsidR="00931B11">
        <w:t xml:space="preserve"> for the two entities combined is greater than $1</w:t>
      </w:r>
      <w:r w:rsidR="00C11750">
        <w:t>50</w:t>
      </w:r>
      <w:r w:rsidR="00931B11">
        <w:t>,000 in 2025, then Les will be treated as an HPI in 2026</w:t>
      </w:r>
      <w:r>
        <w:t xml:space="preserve"> in relation to the salary deferrals made from his compensation from both companies.</w:t>
      </w:r>
    </w:p>
    <w:p w14:paraId="57AFE627" w14:textId="77777777" w:rsidR="00931B11" w:rsidRDefault="00931B11" w:rsidP="004B1FF5"/>
    <w:p w14:paraId="2F5E4A65" w14:textId="02515757" w:rsidR="00931B11" w:rsidRDefault="00931B11" w:rsidP="004B1FF5">
      <w:r>
        <w:t xml:space="preserve">Additionally, if the Employer has acquired another company in an asset purchase, it may elect to aggregate the </w:t>
      </w:r>
      <w:r w:rsidR="00BA2A14">
        <w:t>FICA wages</w:t>
      </w:r>
      <w:r>
        <w:t xml:space="preserve"> earned from both the Seller’s company and the Employer</w:t>
      </w:r>
      <w:r w:rsidR="00BF2FB9">
        <w:t xml:space="preserve"> for purposes of determining the employee’s HPI status</w:t>
      </w:r>
      <w:r>
        <w:t>.</w:t>
      </w:r>
    </w:p>
    <w:p w14:paraId="43BEE146" w14:textId="77777777" w:rsidR="00931B11" w:rsidRDefault="00931B11" w:rsidP="004B1FF5"/>
    <w:p w14:paraId="4564AA41" w14:textId="0AF5A686" w:rsidR="00931B11" w:rsidRPr="00931B11" w:rsidRDefault="00931B11" w:rsidP="004B1FF5">
      <w:r>
        <w:tab/>
      </w:r>
      <w:r>
        <w:rPr>
          <w:b/>
          <w:bCs/>
        </w:rPr>
        <w:t>Example:</w:t>
      </w:r>
      <w:r>
        <w:t xml:space="preserve"> Mary originally works for Bo Peep, Inc.  Little Boy Blue Corp. purchases </w:t>
      </w:r>
      <w:r w:rsidR="00115699">
        <w:t xml:space="preserve">all the assets of </w:t>
      </w:r>
      <w:r>
        <w:t xml:space="preserve">Bo Peep, Inc. in July 2026.  After the purchase, Little Boy Blue moves Mary, and all other employees, onto its payroll.  In 2027, Little Boy Blue may elect to look at compensation earned from both Bo Peep and Little Boy Blue to determine Mary’s </w:t>
      </w:r>
      <w:r w:rsidR="00626515">
        <w:t xml:space="preserve">HPI </w:t>
      </w:r>
      <w:r>
        <w:t>status</w:t>
      </w:r>
      <w:r w:rsidR="00626515">
        <w:t xml:space="preserve"> in the Little Boy Blue Plan</w:t>
      </w:r>
      <w:r>
        <w:t>.</w:t>
      </w:r>
    </w:p>
    <w:p w14:paraId="79909A85" w14:textId="77777777" w:rsidR="00357AAB" w:rsidRDefault="00357AAB" w:rsidP="004B1FF5"/>
    <w:p w14:paraId="79ED5461" w14:textId="17DCA997" w:rsidR="007F77FF" w:rsidRDefault="007F77FF" w:rsidP="004B1FF5">
      <w:r>
        <w:t xml:space="preserve">A catch-up contribution occurs when a catch-up eligible participant has elected to have elective deferrals made to the </w:t>
      </w:r>
      <w:r w:rsidR="00A444C0">
        <w:t>P</w:t>
      </w:r>
      <w:r>
        <w:t xml:space="preserve">lan on their behalf in excess of a limitation in the </w:t>
      </w:r>
      <w:r w:rsidR="00A444C0">
        <w:t>P</w:t>
      </w:r>
      <w:r>
        <w:t>lan or in the Code.  These limitations include the following:</w:t>
      </w:r>
    </w:p>
    <w:p w14:paraId="3068FA49" w14:textId="77777777" w:rsidR="007F77FF" w:rsidRDefault="007F77FF" w:rsidP="004B1FF5"/>
    <w:p w14:paraId="5C8D7613" w14:textId="60324A37" w:rsidR="00467B06" w:rsidRDefault="007F77FF" w:rsidP="005C0110">
      <w:pPr>
        <w:pStyle w:val="ListParagraph"/>
        <w:numPr>
          <w:ilvl w:val="0"/>
          <w:numId w:val="2"/>
        </w:numPr>
      </w:pPr>
      <w:r>
        <w:t xml:space="preserve">The limitation on elective deferrals by a participant </w:t>
      </w:r>
      <w:r w:rsidR="00D00BD3">
        <w:t xml:space="preserve">in a calendar year </w:t>
      </w:r>
      <w:r>
        <w:t xml:space="preserve">to any qualified retirement plan (including 403(b) plans and 457(b) plans) or combination of qualified retirement plans in excess of the limit under </w:t>
      </w:r>
      <w:r w:rsidR="00467B06">
        <w:t>Code Section 402(g)</w:t>
      </w:r>
      <w:r>
        <w:t xml:space="preserve"> (which amounts increase periodically for cost-of-living).  The </w:t>
      </w:r>
      <w:r w:rsidR="00D00BD3">
        <w:t xml:space="preserve">Code Section </w:t>
      </w:r>
      <w:r>
        <w:t xml:space="preserve">402(g) </w:t>
      </w:r>
      <w:r w:rsidR="00467B06">
        <w:t>limitations</w:t>
      </w:r>
      <w:r>
        <w:t xml:space="preserve"> for the relevant years are</w:t>
      </w:r>
      <w:r w:rsidR="00467B06">
        <w:t>:</w:t>
      </w:r>
    </w:p>
    <w:p w14:paraId="0500E13C" w14:textId="77777777" w:rsidR="007F77FF" w:rsidRDefault="007F77FF" w:rsidP="004B1FF5"/>
    <w:tbl>
      <w:tblPr>
        <w:tblStyle w:val="TableGrid"/>
        <w:tblW w:w="5675" w:type="dxa"/>
        <w:tblInd w:w="985" w:type="dxa"/>
        <w:tblLook w:val="04A0" w:firstRow="1" w:lastRow="0" w:firstColumn="1" w:lastColumn="0" w:noHBand="0" w:noVBand="1"/>
      </w:tblPr>
      <w:tblGrid>
        <w:gridCol w:w="2880"/>
        <w:gridCol w:w="2795"/>
      </w:tblGrid>
      <w:tr w:rsidR="00467B06" w14:paraId="12514EC6" w14:textId="77777777" w:rsidTr="00467B06">
        <w:tc>
          <w:tcPr>
            <w:tcW w:w="2880" w:type="dxa"/>
          </w:tcPr>
          <w:p w14:paraId="7A5CEAC6" w14:textId="27682F21" w:rsidR="00467B06" w:rsidRDefault="00467B06" w:rsidP="004B1FF5">
            <w:bookmarkStart w:id="0" w:name="_Hlk196935426"/>
            <w:r>
              <w:t>2025</w:t>
            </w:r>
          </w:p>
        </w:tc>
        <w:tc>
          <w:tcPr>
            <w:tcW w:w="2795" w:type="dxa"/>
          </w:tcPr>
          <w:p w14:paraId="59A7B82C" w14:textId="46148E0E" w:rsidR="00467B06" w:rsidRDefault="00467B06" w:rsidP="004B1FF5">
            <w:r>
              <w:t>$23,500</w:t>
            </w:r>
          </w:p>
        </w:tc>
      </w:tr>
      <w:tr w:rsidR="00467B06" w14:paraId="4A06321B" w14:textId="77777777" w:rsidTr="00467B06">
        <w:tc>
          <w:tcPr>
            <w:tcW w:w="2880" w:type="dxa"/>
          </w:tcPr>
          <w:p w14:paraId="5447ACCA" w14:textId="48A292AE" w:rsidR="00467B06" w:rsidRDefault="00467B06" w:rsidP="004B1FF5">
            <w:r>
              <w:t>2026</w:t>
            </w:r>
          </w:p>
        </w:tc>
        <w:tc>
          <w:tcPr>
            <w:tcW w:w="2795" w:type="dxa"/>
          </w:tcPr>
          <w:p w14:paraId="5CBC9753" w14:textId="5D0CFB0B" w:rsidR="00467B06" w:rsidRDefault="00467B06" w:rsidP="004B1FF5">
            <w:r>
              <w:t>$</w:t>
            </w:r>
            <w:r w:rsidR="00C11750">
              <w:t>24,500</w:t>
            </w:r>
          </w:p>
        </w:tc>
      </w:tr>
      <w:tr w:rsidR="00467B06" w14:paraId="3BB7380C" w14:textId="77777777" w:rsidTr="00467B06">
        <w:tc>
          <w:tcPr>
            <w:tcW w:w="2880" w:type="dxa"/>
          </w:tcPr>
          <w:p w14:paraId="6ABCFF50" w14:textId="662D8913" w:rsidR="00467B06" w:rsidRDefault="00467B06" w:rsidP="004B1FF5">
            <w:r>
              <w:t>2027</w:t>
            </w:r>
          </w:p>
        </w:tc>
        <w:tc>
          <w:tcPr>
            <w:tcW w:w="2795" w:type="dxa"/>
          </w:tcPr>
          <w:p w14:paraId="6F9B812B" w14:textId="7BF097A8" w:rsidR="00467B06" w:rsidRDefault="00467B06" w:rsidP="004B1FF5">
            <w:r>
              <w:t>$</w:t>
            </w:r>
          </w:p>
        </w:tc>
      </w:tr>
      <w:bookmarkEnd w:id="0"/>
    </w:tbl>
    <w:p w14:paraId="7430903D" w14:textId="77777777" w:rsidR="00467B06" w:rsidRDefault="00467B06" w:rsidP="004B1FF5"/>
    <w:p w14:paraId="09A0A1C7" w14:textId="7A12FFF1" w:rsidR="007F77FF" w:rsidRDefault="007F77FF" w:rsidP="007F77FF">
      <w:pPr>
        <w:pStyle w:val="ListParagraph"/>
        <w:numPr>
          <w:ilvl w:val="0"/>
          <w:numId w:val="2"/>
        </w:numPr>
      </w:pPr>
      <w:r>
        <w:t>The limitation on annual additions allocated to the account of a participant in a qualified retirement plan</w:t>
      </w:r>
      <w:r w:rsidR="00D00BD3">
        <w:t xml:space="preserve"> under Code section 415(c).  This limitation applies to employer contributions, elective deferrals, employee after-tax contributions, and forfeitures allocated to the participant’s account in any individual defined contribution plan or combination of defined contribution plans sponsored by a given employer or group of related employers.  The Code Section 415 limitations for the relevant years are:</w:t>
      </w:r>
    </w:p>
    <w:p w14:paraId="1051FA63" w14:textId="77777777" w:rsidR="00D00BD3" w:rsidRDefault="00D00BD3" w:rsidP="005C0110">
      <w:pPr>
        <w:pStyle w:val="ListParagraph"/>
        <w:ind w:left="1080"/>
      </w:pPr>
    </w:p>
    <w:tbl>
      <w:tblPr>
        <w:tblStyle w:val="TableGrid"/>
        <w:tblW w:w="5675" w:type="dxa"/>
        <w:tblInd w:w="985" w:type="dxa"/>
        <w:tblLook w:val="04A0" w:firstRow="1" w:lastRow="0" w:firstColumn="1" w:lastColumn="0" w:noHBand="0" w:noVBand="1"/>
      </w:tblPr>
      <w:tblGrid>
        <w:gridCol w:w="2880"/>
        <w:gridCol w:w="2795"/>
      </w:tblGrid>
      <w:tr w:rsidR="00D00BD3" w14:paraId="7908EF86" w14:textId="77777777" w:rsidTr="00411FE1">
        <w:tc>
          <w:tcPr>
            <w:tcW w:w="2880" w:type="dxa"/>
          </w:tcPr>
          <w:p w14:paraId="33FF4F27" w14:textId="77777777" w:rsidR="00D00BD3" w:rsidRDefault="00D00BD3" w:rsidP="00411FE1">
            <w:r>
              <w:t>2025</w:t>
            </w:r>
          </w:p>
        </w:tc>
        <w:tc>
          <w:tcPr>
            <w:tcW w:w="2795" w:type="dxa"/>
          </w:tcPr>
          <w:p w14:paraId="648C64EE" w14:textId="075D7996" w:rsidR="00D00BD3" w:rsidRDefault="00D00BD3" w:rsidP="00411FE1">
            <w:r>
              <w:t>$70,000</w:t>
            </w:r>
          </w:p>
        </w:tc>
      </w:tr>
      <w:tr w:rsidR="00D00BD3" w14:paraId="7E35BBF5" w14:textId="77777777" w:rsidTr="00411FE1">
        <w:tc>
          <w:tcPr>
            <w:tcW w:w="2880" w:type="dxa"/>
          </w:tcPr>
          <w:p w14:paraId="66D9EB8D" w14:textId="77777777" w:rsidR="00D00BD3" w:rsidRDefault="00D00BD3" w:rsidP="00411FE1">
            <w:r>
              <w:t>2026</w:t>
            </w:r>
          </w:p>
        </w:tc>
        <w:tc>
          <w:tcPr>
            <w:tcW w:w="2795" w:type="dxa"/>
          </w:tcPr>
          <w:p w14:paraId="512E7470" w14:textId="3D97D38D" w:rsidR="00D00BD3" w:rsidRDefault="00D00BD3" w:rsidP="00411FE1">
            <w:r>
              <w:t>$</w:t>
            </w:r>
            <w:r w:rsidR="00C11750">
              <w:t>72,000</w:t>
            </w:r>
          </w:p>
        </w:tc>
      </w:tr>
      <w:tr w:rsidR="00D00BD3" w14:paraId="74934797" w14:textId="77777777" w:rsidTr="00411FE1">
        <w:tc>
          <w:tcPr>
            <w:tcW w:w="2880" w:type="dxa"/>
          </w:tcPr>
          <w:p w14:paraId="6E78ACF2" w14:textId="77777777" w:rsidR="00D00BD3" w:rsidRDefault="00D00BD3" w:rsidP="00411FE1">
            <w:r>
              <w:t>2027</w:t>
            </w:r>
          </w:p>
        </w:tc>
        <w:tc>
          <w:tcPr>
            <w:tcW w:w="2795" w:type="dxa"/>
          </w:tcPr>
          <w:p w14:paraId="268FC55D" w14:textId="77777777" w:rsidR="00D00BD3" w:rsidRDefault="00D00BD3" w:rsidP="00411FE1">
            <w:r>
              <w:t>$</w:t>
            </w:r>
          </w:p>
        </w:tc>
      </w:tr>
    </w:tbl>
    <w:p w14:paraId="512E5EA5" w14:textId="04214B95" w:rsidR="00D00BD3" w:rsidRDefault="00D00BD3" w:rsidP="005C0110"/>
    <w:p w14:paraId="618DBCF1" w14:textId="77777777" w:rsidR="008273A3" w:rsidRDefault="008273A3" w:rsidP="004B1FF5">
      <w:pPr>
        <w:rPr>
          <w:b/>
          <w:bCs/>
        </w:rPr>
      </w:pPr>
    </w:p>
    <w:p w14:paraId="6CE5AA35" w14:textId="20471217" w:rsidR="00467B06" w:rsidRPr="00467B06" w:rsidRDefault="00467B06" w:rsidP="004B1FF5">
      <w:pPr>
        <w:rPr>
          <w:b/>
          <w:bCs/>
        </w:rPr>
      </w:pPr>
      <w:r w:rsidRPr="00467B06">
        <w:rPr>
          <w:b/>
          <w:bCs/>
        </w:rPr>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0A119FBF"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1" w:name="_Hlk203323722"/>
      <w:r w:rsidR="00A444C0">
        <w:t xml:space="preserve">HPI </w:t>
      </w:r>
      <w:r>
        <w:t xml:space="preserve">is deemed to have elected to have any </w:t>
      </w:r>
      <w:r w:rsidR="00A444C0">
        <w:t xml:space="preserve">pre-tax </w:t>
      </w:r>
      <w:r>
        <w:t xml:space="preserve">elective deferral in excess of one of the above limits automatically reclassified as Roth to the extent that such elective deferrals </w:t>
      </w:r>
      <w:r w:rsidR="00083F6E">
        <w:t>are</w:t>
      </w:r>
      <w:r>
        <w:t xml:space="preserve"> required to be made on a Roth basis</w:t>
      </w:r>
      <w:bookmarkEnd w:id="1"/>
      <w:r>
        <w:t xml:space="preserve">.  The participant will be </w:t>
      </w:r>
      <w:r>
        <w:lastRenderedPageBreak/>
        <w:t xml:space="preserve">advised in </w:t>
      </w:r>
      <w:r w:rsidR="00DF596D">
        <w:t xml:space="preserve">(choose one): </w:t>
      </w:r>
      <w:r w:rsidRPr="00854875">
        <w:t>*</w:t>
      </w:r>
      <w:r w:rsidR="0004750B" w:rsidRPr="00854875">
        <w:t>[</w:t>
      </w:r>
      <w:r w:rsidR="0004750B" w:rsidRPr="003C20AC">
        <w:t>a separate annual notice</w:t>
      </w:r>
      <w:r w:rsidR="0004750B" w:rsidRPr="00854875">
        <w:t>]</w:t>
      </w:r>
      <w:r w:rsidRPr="00854875">
        <w:t>[</w:t>
      </w:r>
      <w:r w:rsidR="0004750B" w:rsidRPr="00854875">
        <w:t>*</w:t>
      </w:r>
      <w:r w:rsidRPr="00854875">
        <w:t>the SPD for the Plan][*the deferral election form</w:t>
      </w:r>
      <w:r>
        <w:t>] that they may elect instead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4B4B13D2" w:rsidR="00684BDA" w:rsidRPr="00684BDA" w:rsidRDefault="00684BDA" w:rsidP="004B1FF5">
      <w:bookmarkStart w:id="2" w:name="_Hlk212969668"/>
      <w:r>
        <w:t xml:space="preserve">To use the Form W-2 and In-Plan Roth </w:t>
      </w:r>
      <w:r w:rsidR="005D3AA4">
        <w:t>Correction</w:t>
      </w:r>
      <w:r>
        <w:t xml:space="preserve"> options below, the Plan Administrator </w:t>
      </w:r>
      <w:r>
        <w:rPr>
          <w:u w:val="single"/>
        </w:rPr>
        <w:t>must</w:t>
      </w:r>
      <w:r>
        <w:t xml:space="preserve"> adopt the </w:t>
      </w:r>
      <w:r w:rsidR="008908D2">
        <w:t>Deemed Roth Election Procedures</w:t>
      </w:r>
      <w:r>
        <w:t xml:space="preserve">.  </w:t>
      </w:r>
    </w:p>
    <w:bookmarkEnd w:id="2"/>
    <w:p w14:paraId="7244B45B" w14:textId="77777777" w:rsidR="00D00BD3" w:rsidRDefault="00D00BD3" w:rsidP="004B1FF5"/>
    <w:p w14:paraId="2EEBBD88" w14:textId="77777777" w:rsidR="008E15AC" w:rsidRDefault="008E15AC" w:rsidP="004B1FF5">
      <w:pPr>
        <w:rPr>
          <w:b/>
          <w:bCs/>
        </w:rPr>
      </w:pPr>
      <w:r>
        <w:rPr>
          <w:b/>
          <w:bCs/>
        </w:rPr>
        <w:t xml:space="preserve">Any Roth Contribution May be Considered to be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all of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2B179B36" w:rsidR="00467B06" w:rsidRDefault="008E15AC" w:rsidP="005C0110">
      <w:pPr>
        <w:ind w:left="720"/>
      </w:pPr>
      <w:r>
        <w:rPr>
          <w:b/>
          <w:bCs/>
        </w:rPr>
        <w:t>Example</w:t>
      </w:r>
      <w:r w:rsidR="003919C5">
        <w:rPr>
          <w:b/>
          <w:bCs/>
        </w:rPr>
        <w:t>: Suppose</w:t>
      </w:r>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,300 of the already-contributed Roth would be considered to be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151DFA87" w14:textId="77777777" w:rsidR="00EF0A0F" w:rsidRDefault="00EF0A0F" w:rsidP="004B1FF5"/>
    <w:p w14:paraId="4F5E1042" w14:textId="040A2AF0" w:rsidR="00065B43" w:rsidRPr="00065B43" w:rsidRDefault="00065B43" w:rsidP="004B1FF5">
      <w:r>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w:t>
      </w:r>
      <w:r w:rsidR="006C0191">
        <w:lastRenderedPageBreak/>
        <w:t xml:space="preserve">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51CAF066" w14:textId="7D4043B0" w:rsidR="00916916" w:rsidRDefault="0012300E" w:rsidP="005C0110">
      <w:pPr>
        <w:pStyle w:val="ListParagraph"/>
        <w:numPr>
          <w:ilvl w:val="0"/>
          <w:numId w:val="3"/>
        </w:numPr>
        <w:ind w:left="1080"/>
      </w:pPr>
      <w:r>
        <w:t xml:space="preserve">Later-Discovered 402(g) Limit Excesses: </w:t>
      </w:r>
      <w:r w:rsidR="00916916" w:rsidRPr="00A444C0">
        <w:t xml:space="preserve">Form W-2 </w:t>
      </w:r>
      <w:r w:rsidR="005D3AA4">
        <w:t>Correction</w:t>
      </w:r>
      <w:r w:rsidR="00916916" w:rsidRPr="00A444C0">
        <w:t xml:space="preserve"> Option</w:t>
      </w:r>
    </w:p>
    <w:p w14:paraId="7E84F459" w14:textId="7F157B0F" w:rsidR="0012300E" w:rsidRDefault="0012300E" w:rsidP="005C0110">
      <w:pPr>
        <w:pStyle w:val="ListParagraph"/>
      </w:pPr>
    </w:p>
    <w:p w14:paraId="0A9C93D5" w14:textId="748ABBC1" w:rsidR="00916916" w:rsidRDefault="0041109C" w:rsidP="005C0110">
      <w:pPr>
        <w:pStyle w:val="ListParagraph"/>
        <w:ind w:left="1080"/>
      </w:pPr>
      <w:r>
        <w:t xml:space="preserve">If the Plan Administrator </w:t>
      </w:r>
      <w:r w:rsidR="0012300E">
        <w:t xml:space="preserve">identifies </w:t>
      </w:r>
      <w:r>
        <w:t xml:space="preserve">a Plan participant </w:t>
      </w:r>
      <w:r w:rsidR="0012300E">
        <w:t xml:space="preserve">as </w:t>
      </w:r>
      <w:r>
        <w:t xml:space="preserve">a </w:t>
      </w:r>
      <w:r w:rsidR="006C0191">
        <w:t xml:space="preserve">catch-up eligible </w:t>
      </w:r>
      <w:r>
        <w:t>HPI</w:t>
      </w:r>
      <w:r w:rsidR="0012300E">
        <w:t xml:space="preserve"> </w:t>
      </w:r>
      <w:r w:rsidR="005556B3">
        <w:t>or</w:t>
      </w:r>
      <w:r w:rsidR="006C0191">
        <w:t xml:space="preserve"> becomes aware that a pre-tax deferral for such HPI is in excess of a deferral limit and must be reclassified from pre-tax to Roth after such amount has been contributed to the Plan, </w:t>
      </w:r>
      <w:r w:rsidR="0012300E">
        <w:t xml:space="preserve">but </w:t>
      </w:r>
      <w:r>
        <w:rPr>
          <w:u w:val="single"/>
        </w:rPr>
        <w:t>before</w:t>
      </w:r>
      <w:r>
        <w:t xml:space="preserve"> the Form W-2 is issued, the Plan Administrator may </w:t>
      </w:r>
      <w:r w:rsidR="00A444C0">
        <w:t xml:space="preserve">reflect </w:t>
      </w:r>
      <w:r>
        <w:t xml:space="preserve">the catch-up contribution amount </w:t>
      </w:r>
      <w:r w:rsidR="00397218">
        <w:t xml:space="preserve">as Roth </w:t>
      </w:r>
      <w:r>
        <w:t>on the Form W-2, box 12</w:t>
      </w:r>
      <w:r w:rsidR="006C0191">
        <w:t xml:space="preserve">.  The Plan Administrator must also </w:t>
      </w:r>
      <w:r w:rsidR="00397218">
        <w:t xml:space="preserve">advise the </w:t>
      </w:r>
      <w:r w:rsidR="006C0191">
        <w:t xml:space="preserve">Plan’s </w:t>
      </w:r>
      <w:r w:rsidR="00397218">
        <w:t xml:space="preserve">recordkeeper to move such amount (and earnings on such amount) </w:t>
      </w:r>
      <w:r w:rsidR="006C0191">
        <w:t xml:space="preserve">from the HPI’s pre-tax deferral account </w:t>
      </w:r>
      <w:r w:rsidR="00397218">
        <w:t xml:space="preserve">to the Roth </w:t>
      </w:r>
      <w:r w:rsidR="006C0191">
        <w:t xml:space="preserve">deferral </w:t>
      </w:r>
      <w:r w:rsidR="00397218">
        <w:t xml:space="preserve">account on or before </w:t>
      </w:r>
      <w:r w:rsidR="00FC0A9C">
        <w:t>the deadline discussed below</w:t>
      </w:r>
      <w:r w:rsidR="00397218">
        <w:t>.</w:t>
      </w:r>
    </w:p>
    <w:p w14:paraId="0D21E35E" w14:textId="77777777" w:rsidR="00397218" w:rsidRDefault="00397218" w:rsidP="005C0110">
      <w:pPr>
        <w:pStyle w:val="ListParagraph"/>
        <w:ind w:left="1440"/>
      </w:pPr>
    </w:p>
    <w:p w14:paraId="50480252" w14:textId="679EC359" w:rsidR="0041109C" w:rsidRDefault="0041109C" w:rsidP="005C0110">
      <w:pPr>
        <w:pStyle w:val="ListParagraph"/>
        <w:ind w:left="1440"/>
      </w:pPr>
      <w:r w:rsidRPr="005C0110">
        <w:rPr>
          <w:b/>
          <w:bCs/>
        </w:rPr>
        <w:t>Example</w:t>
      </w:r>
      <w:r>
        <w:t>: Ray contributed $3</w:t>
      </w:r>
      <w:r w:rsidR="008C506B">
        <w:t>2</w:t>
      </w:r>
      <w:r>
        <w:t>,</w:t>
      </w:r>
      <w:r w:rsidR="00C11750">
        <w:t>5</w:t>
      </w:r>
      <w:r>
        <w:t>00 in pre-tax contributions</w:t>
      </w:r>
      <w:r w:rsidR="00397218">
        <w:t xml:space="preserve"> during 2026</w:t>
      </w:r>
      <w:r>
        <w:t xml:space="preserve">.  </w:t>
      </w:r>
      <w:r w:rsidR="006C0191">
        <w:t xml:space="preserve">In early January of 2027, </w:t>
      </w:r>
      <w:r w:rsidR="00397218">
        <w:t xml:space="preserve">Ray </w:t>
      </w:r>
      <w:r w:rsidR="006C0191">
        <w:t xml:space="preserve">is </w:t>
      </w:r>
      <w:r w:rsidR="00397218">
        <w:t>identified as a</w:t>
      </w:r>
      <w:r w:rsidR="006C0191">
        <w:t xml:space="preserve"> catch-up eligible </w:t>
      </w:r>
      <w:r w:rsidR="00397218">
        <w:t>HPI</w:t>
      </w:r>
      <w:r w:rsidR="006C0191">
        <w:t xml:space="preserve">.  Ray’s deferrals exceeded the </w:t>
      </w:r>
      <w:r w:rsidR="00397218">
        <w:t>402(g) limit of $2</w:t>
      </w:r>
      <w:r w:rsidR="00C11750">
        <w:t>4</w:t>
      </w:r>
      <w:r w:rsidR="00397218">
        <w:t xml:space="preserve"> 500</w:t>
      </w:r>
      <w:r w:rsidR="00A444C0">
        <w:t>, and the excess amount is a catch-up contribution</w:t>
      </w:r>
      <w:r>
        <w:t xml:space="preserve">.  </w:t>
      </w:r>
      <w:r w:rsidR="006C0191">
        <w:t>The Plan Administrator directs Ray’s employer to issue the Form W-2</w:t>
      </w:r>
      <w:r w:rsidR="00FC0A9C">
        <w:t xml:space="preserve"> on a timely basis</w:t>
      </w:r>
      <w:r w:rsidR="006C0191">
        <w:t xml:space="preserve">, reflecting in </w:t>
      </w:r>
      <w:r>
        <w:t xml:space="preserve">Box 12 </w:t>
      </w:r>
      <w:r w:rsidR="00397218">
        <w:t xml:space="preserve">that </w:t>
      </w:r>
      <w:r>
        <w:t xml:space="preserve">pre-tax </w:t>
      </w:r>
      <w:r w:rsidR="00397218">
        <w:t xml:space="preserve">elective deferrals </w:t>
      </w:r>
      <w:r w:rsidR="006C0191">
        <w:t>of $2</w:t>
      </w:r>
      <w:r w:rsidR="00C11750">
        <w:t>4</w:t>
      </w:r>
      <w:r w:rsidR="006C0191">
        <w:t xml:space="preserve">,500 </w:t>
      </w:r>
      <w:r w:rsidR="00397218">
        <w:t>were made</w:t>
      </w:r>
      <w:r w:rsidR="00A444C0">
        <w:t xml:space="preserve"> </w:t>
      </w:r>
      <w:r>
        <w:t xml:space="preserve">(Code D), and </w:t>
      </w:r>
      <w:r w:rsidR="00397218">
        <w:t>that the balance of the deferrals, $</w:t>
      </w:r>
      <w:r w:rsidR="00C11750">
        <w:t>8</w:t>
      </w:r>
      <w:r w:rsidR="00397218">
        <w:t>,</w:t>
      </w:r>
      <w:r w:rsidR="00C11750">
        <w:t>0</w:t>
      </w:r>
      <w:r w:rsidR="00397218">
        <w:t xml:space="preserve">00, were made as Roth catch-up contributions </w:t>
      </w:r>
      <w:r>
        <w:t>(Code AA).  Earnings</w:t>
      </w:r>
      <w:r w:rsidR="00397218">
        <w:t xml:space="preserve"> on the catch-up contributions earned during the plan year </w:t>
      </w:r>
      <w:r>
        <w:t xml:space="preserve">are not included in </w:t>
      </w:r>
      <w:r w:rsidR="00A444C0">
        <w:t xml:space="preserve">the </w:t>
      </w:r>
      <w:r w:rsidR="00397218">
        <w:t xml:space="preserve">amount reflected on </w:t>
      </w:r>
      <w:r>
        <w:t>Form W-2, but are moved to the Roth account</w:t>
      </w:r>
      <w:r w:rsidR="00FC0A9C">
        <w:t xml:space="preserve">, along with the Roth catch-up amount, </w:t>
      </w:r>
      <w:r w:rsidR="00397218">
        <w:t xml:space="preserve">by </w:t>
      </w:r>
      <w:r w:rsidR="00FC0A9C">
        <w:t>the applicable deadline discussed below</w:t>
      </w:r>
      <w:r>
        <w:t>.</w:t>
      </w:r>
    </w:p>
    <w:p w14:paraId="64BB1690" w14:textId="77777777" w:rsidR="0041109C" w:rsidRDefault="0041109C" w:rsidP="00916916">
      <w:pPr>
        <w:pStyle w:val="ListParagraph"/>
      </w:pPr>
    </w:p>
    <w:p w14:paraId="3823EB20" w14:textId="1FCBD0EB"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691A8961" w:rsidR="00397218" w:rsidRDefault="00397218" w:rsidP="005C0110">
      <w:pPr>
        <w:pStyle w:val="ListParagraph"/>
        <w:ind w:left="1440"/>
      </w:pPr>
    </w:p>
    <w:p w14:paraId="4F11F667" w14:textId="5DA724B2"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r w:rsidR="009F25EE">
        <w:t>Form</w:t>
      </w:r>
      <w:r w:rsidR="008912E4">
        <w:t xml:space="preserve"> 1099R </w:t>
      </w:r>
      <w:r w:rsidR="006324B7">
        <w:t xml:space="preserve">to the HPI </w:t>
      </w:r>
      <w:r w:rsidR="00FC0A9C">
        <w:t xml:space="preserve">for the year in which the reclassification and transfer occur, </w:t>
      </w:r>
      <w:r w:rsidR="008912E4">
        <w:t xml:space="preserve">reflecting the total amount (catch-up contributions and earnings) </w:t>
      </w:r>
      <w:r w:rsidR="00FC0A9C">
        <w:t>as taxable income for such year</w:t>
      </w:r>
      <w:r w:rsidR="008912E4">
        <w:t xml:space="preserve">.  </w:t>
      </w:r>
    </w:p>
    <w:p w14:paraId="0ADA0C22" w14:textId="77777777" w:rsidR="008912E4" w:rsidRDefault="008912E4" w:rsidP="008912E4"/>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w:t>
      </w:r>
      <w:r w:rsidR="00EF0A0F">
        <w:lastRenderedPageBreak/>
        <w:t>the 402(g) excess will be considered to be after-tax (and, therefore, not tax deferred) in the year of the deferral.  The excess is taxed a second time when it is distributed.</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By: _______________________________</w:t>
      </w:r>
      <w:r>
        <w:rPr>
          <w:b/>
          <w:bCs/>
        </w:rPr>
        <w:tab/>
      </w:r>
      <w:r>
        <w:rPr>
          <w:b/>
          <w:bCs/>
        </w:rPr>
        <w:tab/>
      </w:r>
      <w:r>
        <w:rPr>
          <w:b/>
          <w:bCs/>
        </w:rPr>
        <w:tab/>
        <w:t>Date: 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Default="00604D4C" w:rsidP="00604D4C">
      <w:pPr>
        <w:rPr>
          <w:b/>
          <w:bCs/>
        </w:rPr>
      </w:pPr>
      <w:r>
        <w:rPr>
          <w:b/>
          <w:bCs/>
        </w:rPr>
        <w:t>Printed Name: _______________________________</w:t>
      </w:r>
    </w:p>
    <w:p w14:paraId="47C1FCE5" w14:textId="77777777" w:rsidR="00285E32" w:rsidRDefault="00285E32" w:rsidP="00604D4C">
      <w:pPr>
        <w:rPr>
          <w:b/>
          <w:bCs/>
        </w:rPr>
      </w:pPr>
    </w:p>
    <w:p w14:paraId="10DBBDD4" w14:textId="3C4B9E8D" w:rsidR="00285E32" w:rsidRPr="00285E32" w:rsidRDefault="00285E32" w:rsidP="00604D4C">
      <w:r w:rsidRPr="00285E32">
        <w:t>PNN-2266AO</w:t>
      </w:r>
      <w:r>
        <w:t xml:space="preserve"> (12/25)</w:t>
      </w:r>
    </w:p>
    <w:sectPr w:rsidR="00285E32" w:rsidRPr="00285E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D19B" w14:textId="77777777" w:rsidR="005C2C93" w:rsidRDefault="005C2C93" w:rsidP="00854875">
      <w:r>
        <w:separator/>
      </w:r>
    </w:p>
  </w:endnote>
  <w:endnote w:type="continuationSeparator" w:id="0">
    <w:p w14:paraId="3ECEC153" w14:textId="77777777" w:rsidR="005C2C93" w:rsidRDefault="005C2C93" w:rsidP="0085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99A" w14:textId="77777777" w:rsidR="00854875" w:rsidRDefault="0085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BF6C" w14:textId="77777777" w:rsidR="00854875" w:rsidRDefault="00854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5BBC" w14:textId="77777777" w:rsidR="00854875" w:rsidRDefault="00854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83F7" w14:textId="77777777" w:rsidR="005C2C93" w:rsidRDefault="005C2C93" w:rsidP="00854875">
      <w:r>
        <w:separator/>
      </w:r>
    </w:p>
  </w:footnote>
  <w:footnote w:type="continuationSeparator" w:id="0">
    <w:p w14:paraId="4AB92BA9" w14:textId="77777777" w:rsidR="005C2C93" w:rsidRDefault="005C2C93" w:rsidP="0085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B5B4" w14:textId="77777777" w:rsidR="00854875" w:rsidRDefault="00854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644472"/>
      <w:docPartObj>
        <w:docPartGallery w:val="Watermarks"/>
        <w:docPartUnique/>
      </w:docPartObj>
    </w:sdtPr>
    <w:sdtContent>
      <w:p w14:paraId="05CF086A" w14:textId="773A590A" w:rsidR="00854875" w:rsidRDefault="00000000">
        <w:pPr>
          <w:pStyle w:val="Header"/>
        </w:pPr>
        <w:r>
          <w:rPr>
            <w:noProof/>
          </w:rPr>
          <w:pict w14:anchorId="73420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7F0" w14:textId="77777777" w:rsidR="00854875" w:rsidRDefault="0085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4750B"/>
    <w:rsid w:val="00065B43"/>
    <w:rsid w:val="00083F6E"/>
    <w:rsid w:val="000B6ED7"/>
    <w:rsid w:val="00115699"/>
    <w:rsid w:val="0012300E"/>
    <w:rsid w:val="00172B4E"/>
    <w:rsid w:val="001D4E8A"/>
    <w:rsid w:val="001E6976"/>
    <w:rsid w:val="001E6C4C"/>
    <w:rsid w:val="00225298"/>
    <w:rsid w:val="00285E32"/>
    <w:rsid w:val="002E2B15"/>
    <w:rsid w:val="002E4A06"/>
    <w:rsid w:val="002F4BA4"/>
    <w:rsid w:val="00306743"/>
    <w:rsid w:val="00357AAB"/>
    <w:rsid w:val="003919C5"/>
    <w:rsid w:val="00392A6D"/>
    <w:rsid w:val="00397218"/>
    <w:rsid w:val="003C20AC"/>
    <w:rsid w:val="003E6102"/>
    <w:rsid w:val="0041109C"/>
    <w:rsid w:val="00411FE1"/>
    <w:rsid w:val="00456DE9"/>
    <w:rsid w:val="00467B06"/>
    <w:rsid w:val="004A1C66"/>
    <w:rsid w:val="004A2B27"/>
    <w:rsid w:val="004B1FF5"/>
    <w:rsid w:val="004C2F0E"/>
    <w:rsid w:val="00504D8D"/>
    <w:rsid w:val="0055322A"/>
    <w:rsid w:val="005556B3"/>
    <w:rsid w:val="00555ADD"/>
    <w:rsid w:val="005C0110"/>
    <w:rsid w:val="005C2C93"/>
    <w:rsid w:val="005D3AA4"/>
    <w:rsid w:val="00604D4C"/>
    <w:rsid w:val="0060529D"/>
    <w:rsid w:val="00613979"/>
    <w:rsid w:val="00626515"/>
    <w:rsid w:val="006324B7"/>
    <w:rsid w:val="00635636"/>
    <w:rsid w:val="006457B0"/>
    <w:rsid w:val="00684BDA"/>
    <w:rsid w:val="006C0191"/>
    <w:rsid w:val="006D55D0"/>
    <w:rsid w:val="00730CC3"/>
    <w:rsid w:val="00745894"/>
    <w:rsid w:val="00747E54"/>
    <w:rsid w:val="00756E7D"/>
    <w:rsid w:val="00764EA2"/>
    <w:rsid w:val="0077254D"/>
    <w:rsid w:val="00781F50"/>
    <w:rsid w:val="00782DC9"/>
    <w:rsid w:val="007B3C65"/>
    <w:rsid w:val="007B61AE"/>
    <w:rsid w:val="007D4026"/>
    <w:rsid w:val="007F77FF"/>
    <w:rsid w:val="008273A3"/>
    <w:rsid w:val="00854875"/>
    <w:rsid w:val="0086490C"/>
    <w:rsid w:val="0087375E"/>
    <w:rsid w:val="00873A7A"/>
    <w:rsid w:val="00884389"/>
    <w:rsid w:val="008908D2"/>
    <w:rsid w:val="008912E4"/>
    <w:rsid w:val="00894152"/>
    <w:rsid w:val="008A0D4F"/>
    <w:rsid w:val="008C506B"/>
    <w:rsid w:val="008E15AC"/>
    <w:rsid w:val="008F776C"/>
    <w:rsid w:val="00902B50"/>
    <w:rsid w:val="00916006"/>
    <w:rsid w:val="00916916"/>
    <w:rsid w:val="009233E6"/>
    <w:rsid w:val="00931B11"/>
    <w:rsid w:val="00951A51"/>
    <w:rsid w:val="00972181"/>
    <w:rsid w:val="00990E7B"/>
    <w:rsid w:val="009D1D7A"/>
    <w:rsid w:val="009F25EE"/>
    <w:rsid w:val="00A06B6F"/>
    <w:rsid w:val="00A16B79"/>
    <w:rsid w:val="00A444C0"/>
    <w:rsid w:val="00A6421B"/>
    <w:rsid w:val="00A81C30"/>
    <w:rsid w:val="00A86C14"/>
    <w:rsid w:val="00AB022B"/>
    <w:rsid w:val="00AC422E"/>
    <w:rsid w:val="00AE3709"/>
    <w:rsid w:val="00B27CBF"/>
    <w:rsid w:val="00B4186A"/>
    <w:rsid w:val="00B42297"/>
    <w:rsid w:val="00B54E74"/>
    <w:rsid w:val="00B75091"/>
    <w:rsid w:val="00B85B57"/>
    <w:rsid w:val="00BA2A14"/>
    <w:rsid w:val="00BB0017"/>
    <w:rsid w:val="00BD012E"/>
    <w:rsid w:val="00BF2FB9"/>
    <w:rsid w:val="00C11750"/>
    <w:rsid w:val="00C17CF7"/>
    <w:rsid w:val="00C44226"/>
    <w:rsid w:val="00CF3218"/>
    <w:rsid w:val="00CF59A6"/>
    <w:rsid w:val="00D00BD3"/>
    <w:rsid w:val="00D13575"/>
    <w:rsid w:val="00D13E44"/>
    <w:rsid w:val="00D1615E"/>
    <w:rsid w:val="00D1719C"/>
    <w:rsid w:val="00D85E6E"/>
    <w:rsid w:val="00DA5AA1"/>
    <w:rsid w:val="00DF596D"/>
    <w:rsid w:val="00E10209"/>
    <w:rsid w:val="00E6538E"/>
    <w:rsid w:val="00EA0A8A"/>
    <w:rsid w:val="00EB2DCC"/>
    <w:rsid w:val="00EE07C7"/>
    <w:rsid w:val="00EF0A0F"/>
    <w:rsid w:val="00F00D91"/>
    <w:rsid w:val="00F0376E"/>
    <w:rsid w:val="00F40112"/>
    <w:rsid w:val="00F84992"/>
    <w:rsid w:val="00FB5DCA"/>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F855"/>
  <w15:chartTrackingRefBased/>
  <w15:docId w15:val="{62A4D150-47DB-4DB5-8418-ABE82517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854875"/>
    <w:pPr>
      <w:tabs>
        <w:tab w:val="center" w:pos="4680"/>
        <w:tab w:val="right" w:pos="9360"/>
      </w:tabs>
    </w:pPr>
  </w:style>
  <w:style w:type="character" w:customStyle="1" w:styleId="HeaderChar">
    <w:name w:val="Header Char"/>
    <w:basedOn w:val="DefaultParagraphFont"/>
    <w:link w:val="Header"/>
    <w:uiPriority w:val="99"/>
    <w:rsid w:val="00854875"/>
  </w:style>
  <w:style w:type="paragraph" w:styleId="Footer">
    <w:name w:val="footer"/>
    <w:basedOn w:val="Normal"/>
    <w:link w:val="FooterChar"/>
    <w:uiPriority w:val="99"/>
    <w:unhideWhenUsed/>
    <w:rsid w:val="00854875"/>
    <w:pPr>
      <w:tabs>
        <w:tab w:val="center" w:pos="4680"/>
        <w:tab w:val="right" w:pos="9360"/>
      </w:tabs>
    </w:pPr>
  </w:style>
  <w:style w:type="character" w:customStyle="1" w:styleId="FooterChar">
    <w:name w:val="Footer Char"/>
    <w:basedOn w:val="DefaultParagraphFont"/>
    <w:link w:val="Footer"/>
    <w:uiPriority w:val="99"/>
    <w:rsid w:val="0085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Props1.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841C3-D9F6-46F3-B0E1-619AC30FA546}">
  <ds:schemaRefs>
    <ds:schemaRef ds:uri="http://schemas.microsoft.com/sharepoint/v3/contenttype/forms"/>
  </ds:schemaRefs>
</ds:datastoreItem>
</file>

<file path=customXml/itemProps3.xml><?xml version="1.0" encoding="utf-8"?>
<ds:datastoreItem xmlns:ds="http://schemas.openxmlformats.org/officeDocument/2006/customXml" ds:itemID="{8FCA7281-956C-453C-9130-5D14A081E23B}">
  <ds:schemaRefs>
    <ds:schemaRef ds:uri="http://schemas.microsoft.com/office/2006/metadata/properties"/>
    <ds:schemaRef ds:uri="http://schemas.microsoft.com/office/infopath/2007/PartnerControls"/>
    <ds:schemaRef ds:uri="cc00541c-a0b9-4a77-a458-751a8bcbd7a8"/>
    <ds:schemaRef ds:uri="34f47755-888b-49c6-9c4b-e668d324b9e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2053</Words>
  <Characters>10677</Characters>
  <Application>Microsoft Office Word</Application>
  <DocSecurity>0</DocSecurity>
  <Lines>222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Caldwell, McKenzie</cp:lastModifiedBy>
  <cp:revision>29</cp:revision>
  <cp:lastPrinted>2025-09-21T21:28:00Z</cp:lastPrinted>
  <dcterms:created xsi:type="dcterms:W3CDTF">2025-12-01T20:02:00Z</dcterms:created>
  <dcterms:modified xsi:type="dcterms:W3CDTF">2025-12-08T17:00:00Z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