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1EB6" w14:textId="3D79DC9B" w:rsidR="000075A5" w:rsidRDefault="004B1FF5" w:rsidP="004B1FF5">
      <w:pPr>
        <w:jc w:val="center"/>
      </w:pPr>
      <w:r>
        <w:t>Roth Catch-up Contributions Practices &amp; Procedures</w:t>
      </w:r>
    </w:p>
    <w:p w14:paraId="35ECD3BC" w14:textId="78C866D7" w:rsidR="004B1FF5" w:rsidRDefault="004B1FF5" w:rsidP="004B1FF5">
      <w:pPr>
        <w:jc w:val="center"/>
      </w:pPr>
      <w:r>
        <w:t>For The</w:t>
      </w:r>
    </w:p>
    <w:p w14:paraId="109F175A" w14:textId="7E509319" w:rsidR="004B1FF5" w:rsidRDefault="000865FF" w:rsidP="004B1FF5">
      <w:pPr>
        <w:jc w:val="center"/>
      </w:pPr>
      <w:r>
        <w:t>XYZ 457(b)</w:t>
      </w:r>
      <w:r w:rsidR="00A6421B">
        <w:t xml:space="preserve"> </w:t>
      </w:r>
      <w:r>
        <w:t xml:space="preserve">Retirement Plan </w:t>
      </w:r>
      <w:r w:rsidR="004B1FF5">
        <w:t>(the “Plan”)</w:t>
      </w:r>
    </w:p>
    <w:p w14:paraId="3931D5F6" w14:textId="77777777" w:rsidR="004B1FF5" w:rsidRDefault="004B1FF5" w:rsidP="004B1FF5">
      <w:pPr>
        <w:jc w:val="center"/>
      </w:pPr>
    </w:p>
    <w:p w14:paraId="72F2C8CA" w14:textId="5EEBF9EC" w:rsidR="00467B06" w:rsidRDefault="004B1FF5" w:rsidP="004B1FF5">
      <w:r>
        <w:t xml:space="preserve">The Plan provides for both pre-tax and Roth deferral contributions.  Additionally, the Plan permits Plan participants who are </w:t>
      </w:r>
      <w:r w:rsidR="007F77FF">
        <w:t xml:space="preserve">age </w:t>
      </w:r>
      <w:r>
        <w:t xml:space="preserve">50 or older </w:t>
      </w:r>
      <w:r w:rsidR="007F77FF">
        <w:t xml:space="preserve">during the </w:t>
      </w:r>
      <w:r w:rsidR="00357AAB">
        <w:t xml:space="preserve">calendar </w:t>
      </w:r>
      <w:r w:rsidR="007F77FF">
        <w:t xml:space="preserve">year (“catch-up eligible” participants) </w:t>
      </w:r>
      <w:r>
        <w:t>to make catch-up contributions</w:t>
      </w:r>
      <w:r w:rsidR="007F77FF">
        <w:t>,</w:t>
      </w:r>
      <w:r>
        <w:t xml:space="preserve"> as described in Section 414</w:t>
      </w:r>
      <w:r w:rsidR="007F77FF">
        <w:t>(v)</w:t>
      </w:r>
      <w:r>
        <w:t xml:space="preserve"> of the Internal Revenue Code (the “Code”).</w:t>
      </w:r>
      <w:r w:rsidR="00467B06">
        <w:t xml:space="preserve">  </w:t>
      </w:r>
    </w:p>
    <w:p w14:paraId="19E200F9" w14:textId="77777777" w:rsidR="00EA0A8A" w:rsidRDefault="00EA0A8A" w:rsidP="004B1FF5"/>
    <w:p w14:paraId="14654354" w14:textId="6D68B29D" w:rsidR="00EA0A8A" w:rsidRDefault="00EA0A8A" w:rsidP="004B1FF5">
      <w:r>
        <w:t xml:space="preserve">These practices and procedures are prepared in </w:t>
      </w:r>
      <w:r w:rsidR="0077254D">
        <w:t>good faith</w:t>
      </w:r>
      <w:r>
        <w:t xml:space="preserve"> based on the </w:t>
      </w:r>
      <w:r w:rsidR="00083F6E">
        <w:t xml:space="preserve">Treasury </w:t>
      </w:r>
      <w:r>
        <w:t xml:space="preserve">Regulations issued by the Internal Revenue Service (“IRS”).  </w:t>
      </w:r>
      <w:r w:rsidR="00CF59A6">
        <w:t>T</w:t>
      </w:r>
      <w:r>
        <w:t>hese practices and procedures will be amended, as necessary.</w:t>
      </w:r>
    </w:p>
    <w:p w14:paraId="1A32BE55" w14:textId="77777777" w:rsidR="00467B06" w:rsidRDefault="00467B06" w:rsidP="004B1FF5"/>
    <w:p w14:paraId="7B56336C" w14:textId="23716672" w:rsidR="004B1FF5" w:rsidRDefault="00467B06" w:rsidP="004B1FF5">
      <w:r>
        <w:t xml:space="preserve">Effective January 1, 2026, Code Section </w:t>
      </w:r>
      <w:r w:rsidR="007F77FF">
        <w:t xml:space="preserve">414(v)(7) </w:t>
      </w:r>
      <w:r>
        <w:t xml:space="preserve">requires that Plan participants classified as Highly Paid Individuals (“HPIs”) may only make catch-up contributions as Roth </w:t>
      </w:r>
      <w:r w:rsidR="000865FF" w:rsidRPr="0027442E">
        <w:t>457(b)</w:t>
      </w:r>
      <w:r>
        <w:t xml:space="preserve"> deferrals.  A</w:t>
      </w:r>
      <w:r w:rsidR="007F77FF">
        <w:t>n</w:t>
      </w:r>
      <w:r>
        <w:t xml:space="preserve"> HPI is </w:t>
      </w:r>
      <w:r w:rsidR="007F77FF">
        <w:t xml:space="preserve">defined </w:t>
      </w:r>
      <w:r w:rsidR="00357AAB">
        <w:t xml:space="preserve">as </w:t>
      </w:r>
      <w:r w:rsidR="007F77FF">
        <w:t xml:space="preserve">a participant who earns more than a threshold amount in </w:t>
      </w:r>
      <w:r w:rsidR="00BA2A14">
        <w:t>FICA wages</w:t>
      </w:r>
      <w:r w:rsidR="007F77FF">
        <w:t xml:space="preserve"> paid by the </w:t>
      </w:r>
      <w:r w:rsidR="00357AAB">
        <w:t>P</w:t>
      </w:r>
      <w:r w:rsidR="007F77FF">
        <w:t xml:space="preserve">lan </w:t>
      </w:r>
      <w:r w:rsidR="00357AAB">
        <w:t>S</w:t>
      </w:r>
      <w:r w:rsidR="007F77FF">
        <w:t xml:space="preserve">ponsor </w:t>
      </w:r>
      <w:r w:rsidR="00357AAB">
        <w:t>or a participating employer i</w:t>
      </w:r>
      <w:r w:rsidR="007F77FF">
        <w:t>n the prior calendar year</w:t>
      </w:r>
      <w:r w:rsidR="00357AAB">
        <w:t xml:space="preserve">.  </w:t>
      </w:r>
      <w:r w:rsidR="007F77FF">
        <w:t xml:space="preserve">The relevant thresholds for </w:t>
      </w:r>
      <w:r w:rsidR="00BA2A14">
        <w:t>FICA wages</w:t>
      </w:r>
      <w:r w:rsidR="007F77FF">
        <w:t xml:space="preserve"> are as follows:</w:t>
      </w:r>
    </w:p>
    <w:p w14:paraId="57F20E3E" w14:textId="77777777" w:rsidR="00467B06" w:rsidRPr="00467B06" w:rsidRDefault="00467B06" w:rsidP="004B1FF5">
      <w:r>
        <w:tab/>
      </w:r>
    </w:p>
    <w:tbl>
      <w:tblPr>
        <w:tblStyle w:val="TableGrid"/>
        <w:tblW w:w="5675" w:type="dxa"/>
        <w:tblInd w:w="985" w:type="dxa"/>
        <w:tblLook w:val="04A0" w:firstRow="1" w:lastRow="0" w:firstColumn="1" w:lastColumn="0" w:noHBand="0" w:noVBand="1"/>
      </w:tblPr>
      <w:tblGrid>
        <w:gridCol w:w="2880"/>
        <w:gridCol w:w="2795"/>
      </w:tblGrid>
      <w:tr w:rsidR="00467B06" w14:paraId="20AFDDEC" w14:textId="77777777" w:rsidTr="00906153">
        <w:tc>
          <w:tcPr>
            <w:tcW w:w="2880" w:type="dxa"/>
          </w:tcPr>
          <w:p w14:paraId="7C193856" w14:textId="77777777" w:rsidR="00467B06" w:rsidRDefault="00467B06" w:rsidP="00906153">
            <w:r>
              <w:t>2025</w:t>
            </w:r>
          </w:p>
        </w:tc>
        <w:tc>
          <w:tcPr>
            <w:tcW w:w="2795" w:type="dxa"/>
          </w:tcPr>
          <w:p w14:paraId="6E9336F2" w14:textId="56FC644F" w:rsidR="00467B06" w:rsidRDefault="00467B06" w:rsidP="00906153">
            <w:r>
              <w:t>$1</w:t>
            </w:r>
            <w:r w:rsidR="00C11750">
              <w:t>50</w:t>
            </w:r>
            <w:r>
              <w:t>,000</w:t>
            </w:r>
          </w:p>
        </w:tc>
      </w:tr>
      <w:tr w:rsidR="00467B06" w14:paraId="5E92F4B8" w14:textId="77777777" w:rsidTr="00906153">
        <w:tc>
          <w:tcPr>
            <w:tcW w:w="2880" w:type="dxa"/>
          </w:tcPr>
          <w:p w14:paraId="15E171E4" w14:textId="77777777" w:rsidR="00467B06" w:rsidRDefault="00467B06" w:rsidP="00906153">
            <w:r>
              <w:t>2026</w:t>
            </w:r>
          </w:p>
        </w:tc>
        <w:tc>
          <w:tcPr>
            <w:tcW w:w="2795" w:type="dxa"/>
          </w:tcPr>
          <w:p w14:paraId="04DAF26D" w14:textId="77777777" w:rsidR="00467B06" w:rsidRDefault="00467B06" w:rsidP="00906153">
            <w:r>
              <w:t>$</w:t>
            </w:r>
          </w:p>
        </w:tc>
      </w:tr>
      <w:tr w:rsidR="00467B06" w14:paraId="022AB770" w14:textId="77777777" w:rsidTr="00906153">
        <w:tc>
          <w:tcPr>
            <w:tcW w:w="2880" w:type="dxa"/>
          </w:tcPr>
          <w:p w14:paraId="46C32EBB" w14:textId="77777777" w:rsidR="00467B06" w:rsidRDefault="00467B06" w:rsidP="00906153">
            <w:r>
              <w:t>2027</w:t>
            </w:r>
          </w:p>
        </w:tc>
        <w:tc>
          <w:tcPr>
            <w:tcW w:w="2795" w:type="dxa"/>
          </w:tcPr>
          <w:p w14:paraId="48E48763" w14:textId="77777777" w:rsidR="00467B06" w:rsidRDefault="00467B06" w:rsidP="00906153">
            <w:r>
              <w:t>$</w:t>
            </w:r>
          </w:p>
        </w:tc>
      </w:tr>
    </w:tbl>
    <w:p w14:paraId="26ADF967" w14:textId="5C8E3E1F" w:rsidR="00467B06" w:rsidRPr="00467B06" w:rsidRDefault="00467B06" w:rsidP="004B1FF5"/>
    <w:p w14:paraId="618DBCF1" w14:textId="77777777" w:rsidR="008273A3" w:rsidRDefault="008273A3" w:rsidP="004B1FF5">
      <w:pPr>
        <w:rPr>
          <w:b/>
          <w:bCs/>
        </w:rPr>
      </w:pPr>
    </w:p>
    <w:p w14:paraId="6CE5AA35" w14:textId="20471217" w:rsidR="00467B06" w:rsidRPr="00467B06" w:rsidRDefault="00467B06" w:rsidP="004B1FF5">
      <w:pPr>
        <w:rPr>
          <w:b/>
          <w:bCs/>
        </w:rPr>
      </w:pPr>
      <w:r w:rsidRPr="00467B06">
        <w:rPr>
          <w:b/>
          <w:bCs/>
        </w:rPr>
        <w:t xml:space="preserve">Initial Election – </w:t>
      </w:r>
    </w:p>
    <w:p w14:paraId="4223A933" w14:textId="77777777" w:rsidR="00467B06" w:rsidRDefault="00467B06" w:rsidP="004B1FF5"/>
    <w:p w14:paraId="38E9AB4C" w14:textId="0E498792" w:rsidR="00D00BD3" w:rsidRDefault="00467B06" w:rsidP="004B1FF5">
      <w:r>
        <w:t>Plan participants may elect, at the beginning of the year</w:t>
      </w:r>
      <w:r w:rsidR="00A444C0">
        <w:t xml:space="preserve"> or at any time permitted under the Plan</w:t>
      </w:r>
      <w:r>
        <w:t xml:space="preserve">, to make deferrals on a pre-tax or Roth basis, in whole or in a combination of both types.  </w:t>
      </w:r>
    </w:p>
    <w:p w14:paraId="12A43CB3" w14:textId="77777777" w:rsidR="00D00BD3" w:rsidRDefault="00D00BD3" w:rsidP="004B1FF5"/>
    <w:p w14:paraId="180A8A13" w14:textId="0C33286E" w:rsidR="00D00BD3" w:rsidRDefault="00D00BD3" w:rsidP="004B1FF5">
      <w:pPr>
        <w:rPr>
          <w:b/>
          <w:bCs/>
        </w:rPr>
      </w:pPr>
      <w:r>
        <w:rPr>
          <w:b/>
          <w:bCs/>
        </w:rPr>
        <w:t xml:space="preserve">Deemed Election – </w:t>
      </w:r>
    </w:p>
    <w:p w14:paraId="146152A4" w14:textId="77777777" w:rsidR="00D00BD3" w:rsidRDefault="00D00BD3" w:rsidP="004B1FF5">
      <w:pPr>
        <w:rPr>
          <w:b/>
          <w:bCs/>
        </w:rPr>
      </w:pPr>
    </w:p>
    <w:p w14:paraId="38D1AC40" w14:textId="2583A272" w:rsidR="00D00BD3" w:rsidRDefault="00D00BD3" w:rsidP="004B1FF5">
      <w:r>
        <w:t xml:space="preserve">The Plan Administrator has instituted a procedure consistent with the Treasury Regulations in relation to Code Section 414(v)(7) under which </w:t>
      </w:r>
      <w:r w:rsidR="00A444C0">
        <w:t xml:space="preserve">an </w:t>
      </w:r>
      <w:bookmarkStart w:id="0" w:name="_Hlk203323722"/>
      <w:r w:rsidR="00A444C0">
        <w:t xml:space="preserve">HPI </w:t>
      </w:r>
      <w:r>
        <w:t xml:space="preserve">is deemed to have elected to have any </w:t>
      </w:r>
      <w:r w:rsidR="00A444C0">
        <w:t xml:space="preserve">pre-tax </w:t>
      </w:r>
      <w:r>
        <w:t xml:space="preserve">elective deferral in excess of one of the above limits automatically reclassified as Roth to the extent that such elective deferrals </w:t>
      </w:r>
      <w:r w:rsidR="00083F6E">
        <w:t>are</w:t>
      </w:r>
      <w:r>
        <w:t xml:space="preserve"> required to be made on a Roth basis</w:t>
      </w:r>
      <w:bookmarkEnd w:id="0"/>
      <w:r>
        <w:t xml:space="preserve">.  The participant will be advised </w:t>
      </w:r>
      <w:r w:rsidRPr="00676259">
        <w:t xml:space="preserve">in </w:t>
      </w:r>
      <w:r w:rsidR="00676259" w:rsidRPr="00676259">
        <w:t>(</w:t>
      </w:r>
      <w:r w:rsidR="00EB2084" w:rsidRPr="00456819">
        <w:t>choose one</w:t>
      </w:r>
      <w:r w:rsidR="00676259" w:rsidRPr="00456819">
        <w:t>)</w:t>
      </w:r>
      <w:r w:rsidR="00EB2084" w:rsidRPr="00456819">
        <w:t xml:space="preserve">: </w:t>
      </w:r>
      <w:r w:rsidRPr="00456819">
        <w:t>*</w:t>
      </w:r>
      <w:r w:rsidR="0004750B" w:rsidRPr="00456819">
        <w:t>[a separate annual notice]</w:t>
      </w:r>
      <w:r w:rsidRPr="00456819">
        <w:t>[</w:t>
      </w:r>
      <w:r w:rsidR="0004750B" w:rsidRPr="00456819">
        <w:t>*</w:t>
      </w:r>
      <w:r w:rsidRPr="00456819">
        <w:t>the SPD for the Plan][*the deferral election form]</w:t>
      </w:r>
      <w:r w:rsidRPr="00775559">
        <w:rPr>
          <w:b/>
          <w:bCs/>
          <w:i/>
          <w:iCs/>
        </w:rPr>
        <w:t xml:space="preserve"> </w:t>
      </w:r>
      <w:r>
        <w:t>that they may elect instead to not have such deemed election apply, in which case the amount that would otherwise constitute a catch-up contribution will be distributed to the participant as an excess deferral.</w:t>
      </w:r>
    </w:p>
    <w:p w14:paraId="44B17F7F" w14:textId="77777777" w:rsidR="00931B11" w:rsidRDefault="00931B11" w:rsidP="004B1FF5"/>
    <w:p w14:paraId="05818E6C" w14:textId="70E35EE5" w:rsidR="00931B11" w:rsidRDefault="00931B11" w:rsidP="004B1FF5">
      <w:r>
        <w:t>If a participant ceases to be subject to the requirement to have catch-up contributions made as Roth, the “deemed” election will no longer apply, unless the participant has made the Roth election affirmatively.</w:t>
      </w:r>
    </w:p>
    <w:p w14:paraId="2792B63C" w14:textId="77777777" w:rsidR="00684BDA" w:rsidRDefault="00684BDA" w:rsidP="004B1FF5"/>
    <w:p w14:paraId="594BA564" w14:textId="39176F7B" w:rsidR="00684BDA" w:rsidRPr="00684BDA" w:rsidRDefault="00684BDA" w:rsidP="004B1FF5">
      <w:bookmarkStart w:id="1" w:name="_Hlk212969668"/>
      <w:r>
        <w:t xml:space="preserve">To use the Form W-2 and In-Plan Roth </w:t>
      </w:r>
      <w:r w:rsidR="005D3AA4">
        <w:t>Correction</w:t>
      </w:r>
      <w:r>
        <w:t xml:space="preserve"> options below, the Plan Administrator </w:t>
      </w:r>
      <w:r>
        <w:rPr>
          <w:u w:val="single"/>
        </w:rPr>
        <w:t>must</w:t>
      </w:r>
      <w:r>
        <w:t xml:space="preserve"> adopt the </w:t>
      </w:r>
      <w:r w:rsidR="008908D2">
        <w:t>Deemed Roth Election Procedures</w:t>
      </w:r>
      <w:r>
        <w:t xml:space="preserve">.  </w:t>
      </w:r>
    </w:p>
    <w:bookmarkEnd w:id="1"/>
    <w:p w14:paraId="7244B45B" w14:textId="77777777" w:rsidR="00D00BD3" w:rsidRDefault="00D00BD3" w:rsidP="004B1FF5"/>
    <w:p w14:paraId="2016747D" w14:textId="77777777" w:rsidR="00906153" w:rsidRDefault="00906153" w:rsidP="004B1FF5">
      <w:pPr>
        <w:rPr>
          <w:b/>
          <w:bCs/>
        </w:rPr>
      </w:pPr>
    </w:p>
    <w:p w14:paraId="2EEBBD88" w14:textId="0D4EB8DB" w:rsidR="008E15AC" w:rsidRDefault="008E15AC" w:rsidP="004B1FF5">
      <w:pPr>
        <w:rPr>
          <w:b/>
          <w:bCs/>
        </w:rPr>
      </w:pPr>
      <w:r>
        <w:rPr>
          <w:b/>
          <w:bCs/>
        </w:rPr>
        <w:lastRenderedPageBreak/>
        <w:t xml:space="preserve">Any Roth Contribution May be Considered to be a Catch-up Contribution </w:t>
      </w:r>
    </w:p>
    <w:p w14:paraId="07FF3822" w14:textId="77777777" w:rsidR="008E15AC" w:rsidRDefault="008E15AC" w:rsidP="004B1FF5">
      <w:pPr>
        <w:rPr>
          <w:b/>
          <w:bCs/>
        </w:rPr>
      </w:pPr>
    </w:p>
    <w:p w14:paraId="1920B216" w14:textId="042C90F0" w:rsidR="008E15AC" w:rsidRDefault="008E15AC" w:rsidP="004B1FF5">
      <w:r>
        <w:t>If a</w:t>
      </w:r>
      <w:r w:rsidR="00A444C0">
        <w:t>n</w:t>
      </w:r>
      <w:r>
        <w:t xml:space="preserve"> HPI participant has elected to make both Roth deferrals and pre-tax deferrals and some or all of the deferrals for the year are required to be made as Roth contributions, the Roth deferrals already made by the </w:t>
      </w:r>
      <w:r w:rsidR="00A444C0">
        <w:t xml:space="preserve">HPI </w:t>
      </w:r>
      <w:r>
        <w:t xml:space="preserve">for the year may be used to fulfill that requirement, to the extent possible.  </w:t>
      </w:r>
    </w:p>
    <w:p w14:paraId="08A09273" w14:textId="77777777" w:rsidR="008E15AC" w:rsidRDefault="008E15AC" w:rsidP="004B1FF5"/>
    <w:p w14:paraId="7654CD0F" w14:textId="0016635A" w:rsidR="00467B06" w:rsidRDefault="008E15AC" w:rsidP="005C0110">
      <w:pPr>
        <w:ind w:left="720"/>
      </w:pPr>
      <w:r>
        <w:rPr>
          <w:b/>
          <w:bCs/>
        </w:rPr>
        <w:t>Example</w:t>
      </w:r>
      <w:r w:rsidR="00676259">
        <w:rPr>
          <w:b/>
          <w:bCs/>
        </w:rPr>
        <w:t>: Suppose</w:t>
      </w:r>
      <w:r>
        <w:t xml:space="preserve"> that Patty, a catch-up eligible HPI, </w:t>
      </w:r>
      <w:r w:rsidR="00467B06">
        <w:t xml:space="preserve">elects </w:t>
      </w:r>
      <w:r>
        <w:t xml:space="preserve">in 2026 </w:t>
      </w:r>
      <w:r w:rsidR="00467B06">
        <w:t>to contribute $600 pre-tax and $600 Roth semi-monthly (total of $28,</w:t>
      </w:r>
      <w:r>
        <w:t>8</w:t>
      </w:r>
      <w:r w:rsidR="00467B06">
        <w:t>00</w:t>
      </w:r>
      <w:r>
        <w:t xml:space="preserve"> for the year</w:t>
      </w:r>
      <w:r w:rsidR="00467B06">
        <w:t xml:space="preserve">).  </w:t>
      </w:r>
      <w:r w:rsidR="00172B4E">
        <w:t>T</w:t>
      </w:r>
      <w:r>
        <w:t>he 2026 Section 402(g) limit is $2</w:t>
      </w:r>
      <w:r w:rsidR="00C11750">
        <w:t>4</w:t>
      </w:r>
      <w:r>
        <w:t>,500.  Because Patty’s total deferrals exceed the 402(g) limit by $</w:t>
      </w:r>
      <w:r w:rsidR="00C11750">
        <w:t>4</w:t>
      </w:r>
      <w:r>
        <w:t xml:space="preserve">,300, </w:t>
      </w:r>
      <w:r w:rsidR="00916916">
        <w:t>$</w:t>
      </w:r>
      <w:r w:rsidR="00C11750">
        <w:t>4</w:t>
      </w:r>
      <w:r w:rsidR="00A444C0">
        <w:t>,</w:t>
      </w:r>
      <w:r w:rsidR="00916916">
        <w:t xml:space="preserve">300 </w:t>
      </w:r>
      <w:r w:rsidR="00A444C0">
        <w:t xml:space="preserve">constitutes </w:t>
      </w:r>
      <w:r>
        <w:t xml:space="preserve">a </w:t>
      </w:r>
      <w:r w:rsidR="00916916">
        <w:t xml:space="preserve">catch-up contribution </w:t>
      </w:r>
      <w:r>
        <w:t>for 2026 and such amount must be a Roth deferral</w:t>
      </w:r>
      <w:r w:rsidR="00916916">
        <w:t xml:space="preserve">.  </w:t>
      </w:r>
      <w:r>
        <w:t>Patty has already contributed $14,400 in 2026 as a Roth deferral.  As permitted by the relevant Treasury regulations, $</w:t>
      </w:r>
      <w:r w:rsidR="00C11750">
        <w:t>4</w:t>
      </w:r>
      <w:r>
        <w:t>,300 of the already-contributed Roth would be considered to be the catch-up contribution, permitting the $14,400 of pre-tax amounts contributed during the year to remain pre-tax</w:t>
      </w:r>
      <w:r w:rsidR="00916916">
        <w:t>.</w:t>
      </w:r>
    </w:p>
    <w:p w14:paraId="57C2290F" w14:textId="77777777" w:rsidR="00916916" w:rsidRDefault="00916916" w:rsidP="004B1FF5"/>
    <w:p w14:paraId="05180204" w14:textId="141E8540" w:rsidR="00916916" w:rsidRDefault="00916916" w:rsidP="004B1FF5">
      <w:pPr>
        <w:rPr>
          <w:b/>
          <w:bCs/>
        </w:rPr>
      </w:pPr>
      <w:r w:rsidRPr="00916916">
        <w:rPr>
          <w:b/>
          <w:bCs/>
        </w:rPr>
        <w:t xml:space="preserve">Reclassification </w:t>
      </w:r>
      <w:r w:rsidR="00A444C0">
        <w:rPr>
          <w:b/>
          <w:bCs/>
        </w:rPr>
        <w:t xml:space="preserve">of Pre-Tax Amounts </w:t>
      </w:r>
      <w:r w:rsidRPr="00916916">
        <w:rPr>
          <w:b/>
          <w:bCs/>
        </w:rPr>
        <w:t xml:space="preserve">– </w:t>
      </w:r>
    </w:p>
    <w:p w14:paraId="445A6D23" w14:textId="77777777" w:rsidR="00065B43" w:rsidRDefault="00065B43" w:rsidP="004B1FF5">
      <w:pPr>
        <w:rPr>
          <w:b/>
          <w:bCs/>
        </w:rPr>
      </w:pPr>
    </w:p>
    <w:p w14:paraId="58DD0D1C" w14:textId="24EF3FCB" w:rsidR="00EF0A0F" w:rsidRDefault="00626515" w:rsidP="004B1FF5">
      <w:r>
        <w:t xml:space="preserve">It is possible that the Employer will determine that someone is an HPI for a given year after catch-up contributions have already been deposited to the Plan on a pre-tax basis.  </w:t>
      </w:r>
      <w:r w:rsidR="00065B43">
        <w:t>Below are methods to convert and correct pre-tax catch-up contributions to Roth</w:t>
      </w:r>
      <w:r w:rsidR="00EF0A0F">
        <w:t xml:space="preserve"> for an HPI</w:t>
      </w:r>
      <w:r w:rsidR="00065B43">
        <w:t xml:space="preserve">.  The Employer must apply the same correction method for similarly </w:t>
      </w:r>
      <w:r w:rsidR="008273A3">
        <w:t>situated</w:t>
      </w:r>
      <w:r w:rsidR="00065B43">
        <w:t xml:space="preserve"> participants.  </w:t>
      </w:r>
      <w:r w:rsidR="00EF0A0F">
        <w:t>For this purpose, “similarly situated participants” are those participants who the Employer discovers are HPIs due to the same reason and at the same time.  If a participant is an HPI but the Employer discovers this later than it found out other employees were HPIs, the newly discovered participant is not “similarly situated” to the earlier discovered HPIs, and a different correction method may be used.</w:t>
      </w:r>
    </w:p>
    <w:p w14:paraId="151DFA87" w14:textId="77777777" w:rsidR="00EF0A0F" w:rsidRDefault="00EF0A0F" w:rsidP="004B1FF5"/>
    <w:p w14:paraId="4F5E1042" w14:textId="040A2AF0" w:rsidR="00065B43" w:rsidRPr="00065B43" w:rsidRDefault="00065B43" w:rsidP="004B1FF5">
      <w:r>
        <w:t>Also, the Employer may not consider investment returns earned by the participant when determining which correction method is applicable.</w:t>
      </w:r>
    </w:p>
    <w:p w14:paraId="666D7E2D" w14:textId="77777777" w:rsidR="0012300E" w:rsidRPr="00916916" w:rsidRDefault="0012300E" w:rsidP="004B1FF5">
      <w:pPr>
        <w:rPr>
          <w:b/>
          <w:bCs/>
        </w:rPr>
      </w:pPr>
    </w:p>
    <w:p w14:paraId="7068A0AC" w14:textId="01DA8155" w:rsidR="0012300E" w:rsidRDefault="0012300E" w:rsidP="005C0110">
      <w:pPr>
        <w:pStyle w:val="ListParagraph"/>
        <w:numPr>
          <w:ilvl w:val="0"/>
          <w:numId w:val="3"/>
        </w:numPr>
        <w:ind w:left="1080"/>
      </w:pPr>
      <w:r>
        <w:t>Excess HPI Pre-Tax Deferrals Identifi</w:t>
      </w:r>
      <w:r w:rsidR="004C2F0E">
        <w:t>ed</w:t>
      </w:r>
      <w:r>
        <w:t xml:space="preserve"> at Time of Contribution</w:t>
      </w:r>
    </w:p>
    <w:p w14:paraId="7455E202" w14:textId="77777777" w:rsidR="00397218" w:rsidRDefault="00397218" w:rsidP="0012300E">
      <w:pPr>
        <w:pStyle w:val="ListParagraph"/>
        <w:ind w:left="1440"/>
      </w:pPr>
    </w:p>
    <w:p w14:paraId="058B36E4" w14:textId="51F8D930" w:rsidR="00916916" w:rsidRDefault="00916916" w:rsidP="005C0110">
      <w:pPr>
        <w:pStyle w:val="ListParagraph"/>
        <w:ind w:left="1080"/>
      </w:pPr>
      <w:r>
        <w:t>If</w:t>
      </w:r>
      <w:r w:rsidR="006C0191">
        <w:t xml:space="preserve">, prior to the time that an affected deferral is to be removed from a HPI’s paycheck and deposited to the Plan, </w:t>
      </w:r>
      <w:r w:rsidR="0012300E">
        <w:t xml:space="preserve">the Plan Administrator </w:t>
      </w:r>
      <w:r w:rsidR="006C0191">
        <w:t xml:space="preserve">has identified the participant </w:t>
      </w:r>
      <w:r w:rsidR="0012300E">
        <w:t>as a</w:t>
      </w:r>
      <w:r w:rsidR="006C0191">
        <w:t xml:space="preserve"> catch-up eligible </w:t>
      </w:r>
      <w:r w:rsidR="0012300E">
        <w:t xml:space="preserve">HPI </w:t>
      </w:r>
      <w:r w:rsidR="00397218">
        <w:t xml:space="preserve">and is aware that </w:t>
      </w:r>
      <w:r w:rsidR="006C0191">
        <w:t xml:space="preserve">the </w:t>
      </w:r>
      <w:r w:rsidR="00397218">
        <w:t xml:space="preserve">amount to be contributed on behalf of the HPI </w:t>
      </w:r>
      <w:r w:rsidR="006C0191">
        <w:t xml:space="preserve">is </w:t>
      </w:r>
      <w:r w:rsidR="00397218">
        <w:t xml:space="preserve">in excess of one of the applicable limits, </w:t>
      </w:r>
      <w:r>
        <w:t xml:space="preserve">the Plan Administrator will direct </w:t>
      </w:r>
      <w:r w:rsidR="006C0191">
        <w:t xml:space="preserve">the Payroll Administrator </w:t>
      </w:r>
      <w:r>
        <w:t xml:space="preserve">to stop the pre-tax deferrals </w:t>
      </w:r>
      <w:r w:rsidR="006C0191">
        <w:t xml:space="preserve">for the HPI </w:t>
      </w:r>
      <w:r>
        <w:t xml:space="preserve">and </w:t>
      </w:r>
      <w:r w:rsidR="0012300E">
        <w:t xml:space="preserve">classify subsequent </w:t>
      </w:r>
      <w:r>
        <w:t>deferrals as Roth until the catch-up contribution limit is reached.</w:t>
      </w:r>
    </w:p>
    <w:p w14:paraId="41880CB8" w14:textId="77777777" w:rsidR="00916916" w:rsidRDefault="00916916" w:rsidP="00916916">
      <w:pPr>
        <w:pStyle w:val="ListParagraph"/>
      </w:pPr>
    </w:p>
    <w:p w14:paraId="51CAF066" w14:textId="39E7C4F3" w:rsidR="00916916" w:rsidRDefault="0012300E" w:rsidP="005C0110">
      <w:pPr>
        <w:pStyle w:val="ListParagraph"/>
        <w:numPr>
          <w:ilvl w:val="0"/>
          <w:numId w:val="3"/>
        </w:numPr>
        <w:ind w:left="1080"/>
      </w:pPr>
      <w:r>
        <w:t xml:space="preserve">Later-Discovered 402(g) Limit Excesses: </w:t>
      </w:r>
      <w:r w:rsidR="00916916" w:rsidRPr="00A444C0">
        <w:t xml:space="preserve">Form </w:t>
      </w:r>
      <w:commentRangeStart w:id="2"/>
      <w:r w:rsidR="00916916" w:rsidRPr="00A444C0">
        <w:t xml:space="preserve">W-2 </w:t>
      </w:r>
      <w:commentRangeEnd w:id="2"/>
      <w:r w:rsidR="00B54E74">
        <w:rPr>
          <w:rStyle w:val="CommentReference"/>
          <w:sz w:val="22"/>
          <w:szCs w:val="22"/>
        </w:rPr>
        <w:commentReference w:id="2"/>
      </w:r>
      <w:r w:rsidR="005D3AA4">
        <w:t>Correction</w:t>
      </w:r>
      <w:r w:rsidR="00916916" w:rsidRPr="00A444C0">
        <w:t xml:space="preserve"> Option</w:t>
      </w:r>
    </w:p>
    <w:p w14:paraId="7E84F459" w14:textId="7F157B0F" w:rsidR="0012300E" w:rsidRDefault="0012300E" w:rsidP="005C0110">
      <w:pPr>
        <w:pStyle w:val="ListParagraph"/>
      </w:pPr>
    </w:p>
    <w:p w14:paraId="0A9C93D5" w14:textId="748ABBC1" w:rsidR="00916916" w:rsidRDefault="0041109C" w:rsidP="005C0110">
      <w:pPr>
        <w:pStyle w:val="ListParagraph"/>
        <w:ind w:left="1080"/>
      </w:pPr>
      <w:r>
        <w:t xml:space="preserve">If the Plan Administrator </w:t>
      </w:r>
      <w:r w:rsidR="0012300E">
        <w:t xml:space="preserve">identifies </w:t>
      </w:r>
      <w:r>
        <w:t xml:space="preserve">a Plan participant </w:t>
      </w:r>
      <w:r w:rsidR="0012300E">
        <w:t xml:space="preserve">as </w:t>
      </w:r>
      <w:r>
        <w:t xml:space="preserve">a </w:t>
      </w:r>
      <w:r w:rsidR="006C0191">
        <w:t xml:space="preserve">catch-up eligible </w:t>
      </w:r>
      <w:r>
        <w:t>HPI</w:t>
      </w:r>
      <w:r w:rsidR="0012300E">
        <w:t xml:space="preserve"> </w:t>
      </w:r>
      <w:r w:rsidR="005556B3">
        <w:t>or</w:t>
      </w:r>
      <w:r w:rsidR="006C0191">
        <w:t xml:space="preserve"> becomes aware that a pre-tax deferral for such HPI is in excess of a deferral limit and must be reclassified from pre-tax to Roth after such amount has been contributed to the Plan, </w:t>
      </w:r>
      <w:r w:rsidR="0012300E">
        <w:t xml:space="preserve">but </w:t>
      </w:r>
      <w:r>
        <w:rPr>
          <w:u w:val="single"/>
        </w:rPr>
        <w:t>before</w:t>
      </w:r>
      <w:r>
        <w:t xml:space="preserve"> the Form W-2 is issued, the Plan Administrator may </w:t>
      </w:r>
      <w:r w:rsidR="00A444C0">
        <w:t xml:space="preserve">reflect </w:t>
      </w:r>
      <w:r>
        <w:t xml:space="preserve">the catch-up contribution amount </w:t>
      </w:r>
      <w:r w:rsidR="00397218">
        <w:t xml:space="preserve">as Roth </w:t>
      </w:r>
      <w:r>
        <w:t>on the Form W-2, box 12</w:t>
      </w:r>
      <w:r w:rsidR="006C0191">
        <w:t xml:space="preserve">.  The Plan Administrator must also </w:t>
      </w:r>
      <w:r w:rsidR="00397218">
        <w:t xml:space="preserve">advise the </w:t>
      </w:r>
      <w:r w:rsidR="006C0191">
        <w:t xml:space="preserve">Plan’s </w:t>
      </w:r>
      <w:r w:rsidR="00397218">
        <w:t xml:space="preserve">recordkeeper to move such amount (and earnings on such amount) </w:t>
      </w:r>
      <w:r w:rsidR="006C0191">
        <w:t xml:space="preserve">from the HPI’s pre-tax deferral account </w:t>
      </w:r>
      <w:r w:rsidR="00397218">
        <w:t xml:space="preserve">to the Roth </w:t>
      </w:r>
      <w:r w:rsidR="006C0191">
        <w:t xml:space="preserve">deferral </w:t>
      </w:r>
      <w:r w:rsidR="00397218">
        <w:t xml:space="preserve">account on or before </w:t>
      </w:r>
      <w:r w:rsidR="00FC0A9C">
        <w:t>the deadline discussed below</w:t>
      </w:r>
      <w:r w:rsidR="00397218">
        <w:t>.</w:t>
      </w:r>
    </w:p>
    <w:p w14:paraId="50480252" w14:textId="679EC359" w:rsidR="0041109C" w:rsidRDefault="0041109C" w:rsidP="005C0110">
      <w:pPr>
        <w:pStyle w:val="ListParagraph"/>
        <w:ind w:left="1440"/>
      </w:pPr>
      <w:r w:rsidRPr="005C0110">
        <w:rPr>
          <w:b/>
          <w:bCs/>
        </w:rPr>
        <w:lastRenderedPageBreak/>
        <w:t>Example</w:t>
      </w:r>
      <w:r>
        <w:t>: Ray contributed $3</w:t>
      </w:r>
      <w:r w:rsidR="008C506B">
        <w:t>2</w:t>
      </w:r>
      <w:r>
        <w:t>,</w:t>
      </w:r>
      <w:r w:rsidR="00C11750">
        <w:t>5</w:t>
      </w:r>
      <w:r>
        <w:t>00 in pre-tax contributions</w:t>
      </w:r>
      <w:r w:rsidR="00397218">
        <w:t xml:space="preserve"> during 2026</w:t>
      </w:r>
      <w:r>
        <w:t xml:space="preserve">.  </w:t>
      </w:r>
      <w:r w:rsidR="006C0191">
        <w:t xml:space="preserve">In early January of 2027, </w:t>
      </w:r>
      <w:r w:rsidR="00397218">
        <w:t xml:space="preserve">Ray </w:t>
      </w:r>
      <w:r w:rsidR="006C0191">
        <w:t xml:space="preserve">is </w:t>
      </w:r>
      <w:r w:rsidR="00397218">
        <w:t>identified as a</w:t>
      </w:r>
      <w:r w:rsidR="006C0191">
        <w:t xml:space="preserve"> catch-up eligible </w:t>
      </w:r>
      <w:r w:rsidR="00397218">
        <w:t>HPI</w:t>
      </w:r>
      <w:r w:rsidR="006C0191">
        <w:t xml:space="preserve">.  Ray’s deferrals exceeded the </w:t>
      </w:r>
      <w:r w:rsidR="00397218">
        <w:t>402(g) limit of $2</w:t>
      </w:r>
      <w:r w:rsidR="00C11750">
        <w:t>4</w:t>
      </w:r>
      <w:r w:rsidR="00397218">
        <w:t xml:space="preserve"> 500</w:t>
      </w:r>
      <w:r w:rsidR="00A444C0">
        <w:t>, and the excess amount is a catch-up contribution</w:t>
      </w:r>
      <w:r>
        <w:t xml:space="preserve">.  </w:t>
      </w:r>
      <w:r w:rsidR="006C0191">
        <w:t>The Plan Administrator directs Ray’s employer to issue the Form W-2</w:t>
      </w:r>
      <w:r w:rsidR="00FC0A9C">
        <w:t xml:space="preserve"> on a timely basis</w:t>
      </w:r>
      <w:r w:rsidR="006C0191">
        <w:t xml:space="preserve">, reflecting in </w:t>
      </w:r>
      <w:r>
        <w:t xml:space="preserve">Box 12 </w:t>
      </w:r>
      <w:r w:rsidR="00397218">
        <w:t xml:space="preserve">that </w:t>
      </w:r>
      <w:r>
        <w:t xml:space="preserve">pre-tax </w:t>
      </w:r>
      <w:r w:rsidR="00397218">
        <w:t xml:space="preserve">elective deferrals </w:t>
      </w:r>
      <w:r w:rsidR="006C0191">
        <w:t>of $2</w:t>
      </w:r>
      <w:r w:rsidR="00C11750">
        <w:t>4</w:t>
      </w:r>
      <w:r w:rsidR="006C0191">
        <w:t xml:space="preserve">,500 </w:t>
      </w:r>
      <w:r w:rsidR="00397218">
        <w:t>were made</w:t>
      </w:r>
      <w:r w:rsidR="00A444C0">
        <w:t xml:space="preserve"> </w:t>
      </w:r>
      <w:r>
        <w:t xml:space="preserve">(Code D), and </w:t>
      </w:r>
      <w:r w:rsidR="00397218">
        <w:t>that the balance of the deferrals, $</w:t>
      </w:r>
      <w:r w:rsidR="00C11750">
        <w:t>8</w:t>
      </w:r>
      <w:r w:rsidR="00397218">
        <w:t>,</w:t>
      </w:r>
      <w:r w:rsidR="00C11750">
        <w:t>0</w:t>
      </w:r>
      <w:r w:rsidR="00397218">
        <w:t xml:space="preserve">00, were made as Roth catch-up contributions </w:t>
      </w:r>
      <w:r>
        <w:t>(Code AA).  Earnings</w:t>
      </w:r>
      <w:r w:rsidR="00397218">
        <w:t xml:space="preserve"> on the catch-up contributions earned during the plan year </w:t>
      </w:r>
      <w:r>
        <w:t xml:space="preserve">are not included in </w:t>
      </w:r>
      <w:r w:rsidR="00A444C0">
        <w:t xml:space="preserve">the </w:t>
      </w:r>
      <w:r w:rsidR="00397218">
        <w:t xml:space="preserve">amount reflected on </w:t>
      </w:r>
      <w:r>
        <w:t>Form W-2, but are moved to the Roth account</w:t>
      </w:r>
      <w:r w:rsidR="00FC0A9C">
        <w:t xml:space="preserve">, along with the Roth catch-up amount, </w:t>
      </w:r>
      <w:r w:rsidR="00397218">
        <w:t xml:space="preserve">by </w:t>
      </w:r>
      <w:r w:rsidR="00FC0A9C">
        <w:t>the applicable deadline discussed below</w:t>
      </w:r>
      <w:r>
        <w:t>.</w:t>
      </w:r>
    </w:p>
    <w:p w14:paraId="64BB1690" w14:textId="77777777" w:rsidR="0041109C" w:rsidRDefault="0041109C" w:rsidP="00916916">
      <w:pPr>
        <w:pStyle w:val="ListParagraph"/>
      </w:pPr>
    </w:p>
    <w:p w14:paraId="3823EB20" w14:textId="0B7B7C51" w:rsidR="0041109C" w:rsidRDefault="00397218" w:rsidP="005C0110">
      <w:pPr>
        <w:pStyle w:val="ListParagraph"/>
        <w:numPr>
          <w:ilvl w:val="0"/>
          <w:numId w:val="3"/>
        </w:numPr>
        <w:ind w:left="1080"/>
      </w:pPr>
      <w:r>
        <w:t>Later-Discovered 402(g) Limit Excesses</w:t>
      </w:r>
      <w:r w:rsidR="0004750B">
        <w:t xml:space="preserve">: </w:t>
      </w:r>
      <w:r w:rsidR="0041109C">
        <w:t xml:space="preserve">In-Plan Roth </w:t>
      </w:r>
      <w:r w:rsidR="005D3AA4">
        <w:t>Correction</w:t>
      </w:r>
    </w:p>
    <w:p w14:paraId="757ACD18" w14:textId="77777777" w:rsidR="00397218" w:rsidRDefault="00397218" w:rsidP="005C0110">
      <w:pPr>
        <w:pStyle w:val="ListParagraph"/>
        <w:ind w:left="1440"/>
      </w:pPr>
    </w:p>
    <w:p w14:paraId="4F11F667" w14:textId="75EE27EB" w:rsidR="0041109C" w:rsidRDefault="0041109C" w:rsidP="005C0110">
      <w:pPr>
        <w:pStyle w:val="ListParagraph"/>
        <w:spacing w:after="240"/>
        <w:ind w:left="1080"/>
        <w:contextualSpacing w:val="0"/>
      </w:pPr>
      <w:r>
        <w:t xml:space="preserve">If the Plan Administrator does not identify </w:t>
      </w:r>
      <w:r w:rsidR="00FC0A9C">
        <w:t xml:space="preserve">a Plan participant as a catch-up eligible </w:t>
      </w:r>
      <w:r>
        <w:t>HPI</w:t>
      </w:r>
      <w:r w:rsidR="00FC0A9C">
        <w:t xml:space="preserve"> or that a pre-tax deferral for such HPI is in excess of a deferral limit and must be reclassified from pre-tax to Roth until after the Form W-2 has been issued, </w:t>
      </w:r>
      <w:r>
        <w:t xml:space="preserve">the Plan Administrator </w:t>
      </w:r>
      <w:r w:rsidR="00FC0A9C">
        <w:t xml:space="preserve">will </w:t>
      </w:r>
      <w:r>
        <w:t xml:space="preserve">coordinate with the recordkeeper to </w:t>
      </w:r>
      <w:r w:rsidR="00FC0A9C">
        <w:t xml:space="preserve">reclassify the relevant deferral amount and earnings thereon as Roth and </w:t>
      </w:r>
      <w:r>
        <w:t xml:space="preserve">move </w:t>
      </w:r>
      <w:r w:rsidR="00FC0A9C">
        <w:t xml:space="preserve">such amounts </w:t>
      </w:r>
      <w:r>
        <w:t xml:space="preserve">to the Roth account.  The </w:t>
      </w:r>
      <w:r w:rsidR="00FC0A9C">
        <w:t xml:space="preserve">Plan Administrator will issue </w:t>
      </w:r>
      <w:r w:rsidR="00676259">
        <w:t>Form</w:t>
      </w:r>
      <w:r w:rsidR="008912E4">
        <w:t xml:space="preserve"> 1099R </w:t>
      </w:r>
      <w:r w:rsidR="006324B7">
        <w:t xml:space="preserve">to the HPI </w:t>
      </w:r>
      <w:r w:rsidR="00FC0A9C">
        <w:t xml:space="preserve">for the year in which the reclassification and transfer occur, </w:t>
      </w:r>
      <w:r w:rsidR="008912E4">
        <w:t xml:space="preserve">reflecting the total amount (catch-up contributions and earnings) </w:t>
      </w:r>
      <w:r w:rsidR="00FC0A9C">
        <w:t>as taxable income for such year</w:t>
      </w:r>
      <w:r w:rsidR="008912E4">
        <w:t xml:space="preserve">.  </w:t>
      </w:r>
    </w:p>
    <w:p w14:paraId="376E3841" w14:textId="02276631" w:rsidR="008912E4" w:rsidRDefault="004A1C66" w:rsidP="008912E4">
      <w:r>
        <w:rPr>
          <w:b/>
          <w:bCs/>
        </w:rPr>
        <w:t>Timing for Correction and Reclassification</w:t>
      </w:r>
    </w:p>
    <w:p w14:paraId="3D4DB99A" w14:textId="77777777" w:rsidR="004A1C66" w:rsidRDefault="004A1C66" w:rsidP="008912E4"/>
    <w:p w14:paraId="7ED9392A" w14:textId="2019F53C" w:rsidR="004A1C66" w:rsidRDefault="004A1C66" w:rsidP="008912E4">
      <w:r>
        <w:t xml:space="preserve">The Plan Administrator shall direct the recordkeeper to reclassify amounts contributed as pre-tax deferrals to Roth as part of the above procedures on or before the </w:t>
      </w:r>
      <w:r w:rsidR="00EF0A0F">
        <w:t xml:space="preserve">last day of the plan year following the plan year in which the misclassification of catch-up contributions occurred.  </w:t>
      </w:r>
      <w:r w:rsidR="00884389">
        <w:t>This correction permit</w:t>
      </w:r>
      <w:r w:rsidR="008273A3">
        <w:t>s</w:t>
      </w:r>
      <w:r w:rsidR="00884389">
        <w:t xml:space="preserve"> the plan to retain it</w:t>
      </w:r>
      <w:r w:rsidR="008273A3">
        <w:t>s</w:t>
      </w:r>
      <w:r w:rsidR="00884389">
        <w:t xml:space="preserve"> qualified status.  </w:t>
      </w:r>
      <w:r w:rsidR="00EF0A0F">
        <w:t xml:space="preserve">However, there are other tax or other ramifications of corrections that take place after the </w:t>
      </w:r>
      <w:r>
        <w:t xml:space="preserve">following </w:t>
      </w:r>
      <w:r w:rsidR="00EF0A0F">
        <w:t xml:space="preserve">earlier </w:t>
      </w:r>
      <w:r>
        <w:t>deadlines:</w:t>
      </w:r>
    </w:p>
    <w:p w14:paraId="6F9F5818" w14:textId="77777777" w:rsidR="004A1C66" w:rsidRDefault="004A1C66" w:rsidP="008912E4"/>
    <w:p w14:paraId="7C7841A8" w14:textId="43F13EFA" w:rsidR="004A1C66" w:rsidRDefault="004A1C66" w:rsidP="005C0110">
      <w:pPr>
        <w:pStyle w:val="ListParagraph"/>
        <w:numPr>
          <w:ilvl w:val="0"/>
          <w:numId w:val="4"/>
        </w:numPr>
        <w:spacing w:after="240"/>
        <w:contextualSpacing w:val="0"/>
      </w:pPr>
      <w:r>
        <w:t xml:space="preserve">In relation to 402(g) excess deferrals: </w:t>
      </w:r>
      <w:r w:rsidR="00065B43">
        <w:t>If corrected after April 15</w:t>
      </w:r>
      <w:r w:rsidR="00EF0A0F">
        <w:t xml:space="preserve"> of the calendar year following the year in which the excess arose</w:t>
      </w:r>
      <w:r w:rsidR="00065B43">
        <w:t xml:space="preserve">, </w:t>
      </w:r>
      <w:r w:rsidR="00EF0A0F">
        <w:t xml:space="preserve">correction </w:t>
      </w:r>
      <w:r w:rsidR="00065B43">
        <w:t>must be treated as a late correction subject to the same rules as any other late 402(g) excess.</w:t>
      </w:r>
      <w:r w:rsidR="00EF0A0F">
        <w:t xml:space="preserve">  This means that the amount of the 402(g) excess will be considered to be after-tax (and, therefore, not tax deferred) in the year of the deferral.  The excess is taxed a second time when it is distributed.</w:t>
      </w:r>
    </w:p>
    <w:p w14:paraId="29BD9036" w14:textId="77777777" w:rsidR="00884389" w:rsidRDefault="00884389" w:rsidP="00065B43">
      <w:pPr>
        <w:pStyle w:val="ListParagraph"/>
        <w:numPr>
          <w:ilvl w:val="0"/>
          <w:numId w:val="4"/>
        </w:numPr>
        <w:spacing w:after="240"/>
      </w:pPr>
      <w:r>
        <w:t xml:space="preserve">No reclassification of the pre-tax catch-up contribution to Roth is required </w:t>
      </w:r>
      <w:r w:rsidR="00065B43">
        <w:t>If</w:t>
      </w:r>
      <w:r>
        <w:t>:</w:t>
      </w:r>
    </w:p>
    <w:p w14:paraId="3DB7F548" w14:textId="7E778D29" w:rsidR="00065B43" w:rsidRDefault="00065B43" w:rsidP="008273A3">
      <w:pPr>
        <w:pStyle w:val="ListParagraph"/>
        <w:numPr>
          <w:ilvl w:val="1"/>
          <w:numId w:val="4"/>
        </w:numPr>
        <w:spacing w:after="240"/>
      </w:pPr>
      <w:r>
        <w:t>the amount subject to correction is $250 or less</w:t>
      </w:r>
      <w:r w:rsidR="00884389">
        <w:t>; or</w:t>
      </w:r>
    </w:p>
    <w:p w14:paraId="5318FA46" w14:textId="4A4600E3" w:rsidR="00065B43" w:rsidRDefault="00065B43" w:rsidP="008273A3">
      <w:pPr>
        <w:pStyle w:val="ListParagraph"/>
        <w:numPr>
          <w:ilvl w:val="1"/>
          <w:numId w:val="4"/>
        </w:numPr>
        <w:spacing w:after="240"/>
      </w:pPr>
      <w:r w:rsidRPr="008273A3">
        <w:rPr>
          <w:caps/>
        </w:rPr>
        <w:t>a</w:t>
      </w:r>
      <w:r>
        <w:t xml:space="preserve"> participant </w:t>
      </w:r>
      <w:r w:rsidR="00884389">
        <w:t xml:space="preserve">is identified as </w:t>
      </w:r>
      <w:r>
        <w:t xml:space="preserve">an HPI </w:t>
      </w:r>
      <w:r w:rsidR="00884389">
        <w:t xml:space="preserve">only upon the issuance </w:t>
      </w:r>
      <w:r>
        <w:t>of an amended Form W-2 after the last day of the taxable year following the year</w:t>
      </w:r>
      <w:r w:rsidR="00884389">
        <w:t xml:space="preserve"> in which the catch-up contribution arose</w:t>
      </w:r>
      <w:r>
        <w:t>.</w:t>
      </w:r>
    </w:p>
    <w:p w14:paraId="50ABCA67" w14:textId="0E7D3E35" w:rsidR="004A1C66" w:rsidRDefault="004A1C66" w:rsidP="004A1C66">
      <w:pPr>
        <w:spacing w:after="240"/>
      </w:pPr>
      <w:r>
        <w:rPr>
          <w:b/>
          <w:bCs/>
        </w:rPr>
        <w:t>Effect of Late Correction</w:t>
      </w:r>
    </w:p>
    <w:p w14:paraId="2AC75C09" w14:textId="3F4FB6B7" w:rsidR="004A1C66" w:rsidRDefault="004A1C66" w:rsidP="005C0110">
      <w:pPr>
        <w:spacing w:after="240"/>
      </w:pPr>
      <w:r>
        <w:t xml:space="preserve">Except to the extent that an alternate correction is available under EPCRS (or other applicable </w:t>
      </w:r>
      <w:r w:rsidRPr="004A1C66">
        <w:t>Treasury or IRS guidance),</w:t>
      </w:r>
      <w:r>
        <w:t xml:space="preserve"> if the </w:t>
      </w:r>
      <w:r w:rsidR="001E6C4C">
        <w:t>correction is not made by the end of the plan year following the plan year in whic</w:t>
      </w:r>
      <w:r w:rsidR="00E10209">
        <w:t>h</w:t>
      </w:r>
      <w:r w:rsidR="001E6C4C">
        <w:t xml:space="preserve"> the excess arose</w:t>
      </w:r>
      <w:r>
        <w:t>, any excess shall be refunded or distributed to the HPI in the same manner as would apply if the HPI was not catch-up eligible.</w:t>
      </w:r>
    </w:p>
    <w:p w14:paraId="6CA37BFF" w14:textId="56D8DEA5" w:rsidR="00604D4C" w:rsidRDefault="00604D4C" w:rsidP="00604D4C">
      <w:pPr>
        <w:rPr>
          <w:b/>
          <w:bCs/>
        </w:rPr>
      </w:pPr>
      <w:r>
        <w:rPr>
          <w:b/>
          <w:bCs/>
        </w:rPr>
        <w:lastRenderedPageBreak/>
        <w:t>Signature of Plan Administrator</w:t>
      </w:r>
    </w:p>
    <w:p w14:paraId="25FFD715" w14:textId="77777777" w:rsidR="00604D4C" w:rsidRDefault="00604D4C" w:rsidP="00604D4C">
      <w:pPr>
        <w:rPr>
          <w:b/>
          <w:bCs/>
        </w:rPr>
      </w:pPr>
    </w:p>
    <w:p w14:paraId="6B8C5701" w14:textId="52149275" w:rsidR="00604D4C" w:rsidRDefault="00604D4C" w:rsidP="00604D4C">
      <w:pPr>
        <w:rPr>
          <w:b/>
          <w:bCs/>
        </w:rPr>
      </w:pPr>
      <w:r>
        <w:rPr>
          <w:b/>
          <w:bCs/>
        </w:rPr>
        <w:t>By: _______________________________</w:t>
      </w:r>
      <w:r>
        <w:rPr>
          <w:b/>
          <w:bCs/>
        </w:rPr>
        <w:tab/>
      </w:r>
      <w:r>
        <w:rPr>
          <w:b/>
          <w:bCs/>
        </w:rPr>
        <w:tab/>
      </w:r>
      <w:r>
        <w:rPr>
          <w:b/>
          <w:bCs/>
        </w:rPr>
        <w:tab/>
        <w:t>Date: ___________________</w:t>
      </w:r>
    </w:p>
    <w:p w14:paraId="09DF23C7" w14:textId="77777777" w:rsidR="00604D4C" w:rsidRDefault="00604D4C" w:rsidP="00604D4C">
      <w:pPr>
        <w:rPr>
          <w:b/>
          <w:bCs/>
        </w:rPr>
      </w:pPr>
    </w:p>
    <w:p w14:paraId="664F819D" w14:textId="77777777" w:rsidR="00604D4C" w:rsidRDefault="00604D4C" w:rsidP="00604D4C">
      <w:pPr>
        <w:rPr>
          <w:b/>
          <w:bCs/>
        </w:rPr>
      </w:pPr>
    </w:p>
    <w:p w14:paraId="23A4C82B" w14:textId="2DD8D24D" w:rsidR="00604D4C" w:rsidRDefault="00604D4C" w:rsidP="00604D4C">
      <w:pPr>
        <w:rPr>
          <w:b/>
          <w:bCs/>
        </w:rPr>
      </w:pPr>
      <w:r>
        <w:rPr>
          <w:b/>
          <w:bCs/>
        </w:rPr>
        <w:t>Printed Name: _______________________________</w:t>
      </w:r>
    </w:p>
    <w:p w14:paraId="4D41FCB1" w14:textId="77777777" w:rsidR="00603967" w:rsidRDefault="00603967" w:rsidP="00604D4C">
      <w:pPr>
        <w:rPr>
          <w:b/>
          <w:bCs/>
        </w:rPr>
      </w:pPr>
    </w:p>
    <w:p w14:paraId="37AE2DE5" w14:textId="77777777" w:rsidR="00603967" w:rsidRDefault="00603967" w:rsidP="00604D4C">
      <w:pPr>
        <w:rPr>
          <w:b/>
          <w:bCs/>
        </w:rPr>
      </w:pPr>
    </w:p>
    <w:p w14:paraId="59F521F6" w14:textId="00D301F3" w:rsidR="00603967" w:rsidRPr="00603967" w:rsidRDefault="00603967" w:rsidP="00604D4C">
      <w:r w:rsidRPr="00603967">
        <w:t>PNN-2267AO</w:t>
      </w:r>
      <w:r>
        <w:t xml:space="preserve"> (12/25)</w:t>
      </w:r>
    </w:p>
    <w:sectPr w:rsidR="00603967" w:rsidRPr="0060396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inn, Monica L" w:date="2025-12-01T10:57:00Z" w:initials="MG">
    <w:p w14:paraId="73F97275" w14:textId="4C54F7B6" w:rsidR="00B54E74" w:rsidRDefault="00B54E74" w:rsidP="00B54E74">
      <w:pPr>
        <w:pStyle w:val="CommentText"/>
      </w:pPr>
      <w:r>
        <w:rPr>
          <w:rStyle w:val="CommentReference"/>
        </w:rPr>
        <w:annotationRef/>
      </w:r>
      <w:r>
        <w:fldChar w:fldCharType="begin"/>
      </w:r>
      <w:r>
        <w:instrText>HYPERLINK "mailto:Maria.Diano@nationwide.com"</w:instrText>
      </w:r>
      <w:bookmarkStart w:id="3" w:name="_@_D087E89DCAAE4625B5373EE05958D1EFZ"/>
      <w:r>
        <w:fldChar w:fldCharType="separate"/>
      </w:r>
      <w:bookmarkEnd w:id="3"/>
      <w:r w:rsidRPr="00B54E74">
        <w:rPr>
          <w:rStyle w:val="Mention"/>
          <w:noProof/>
        </w:rPr>
        <w:t>@Diano, Maria</w:t>
      </w:r>
      <w:r>
        <w:fldChar w:fldCharType="end"/>
      </w:r>
      <w:r>
        <w:t xml:space="preserve">  I think we will need two separate procedures since SS&amp;C does not offer the W-2 correction method - thoughts?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F972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72D18A" w16cex:dateUtc="2025-12-0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F97275" w16cid:durableId="4972D1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FD4D" w14:textId="77777777" w:rsidR="001A228D" w:rsidRDefault="001A228D" w:rsidP="00CF523E">
      <w:r>
        <w:separator/>
      </w:r>
    </w:p>
  </w:endnote>
  <w:endnote w:type="continuationSeparator" w:id="0">
    <w:p w14:paraId="0D204B6B" w14:textId="77777777" w:rsidR="001A228D" w:rsidRDefault="001A228D" w:rsidP="00CF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A9EE" w14:textId="77777777" w:rsidR="00CF523E" w:rsidRDefault="00CF5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9C41" w14:textId="77777777" w:rsidR="00CF523E" w:rsidRDefault="00CF5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086C" w14:textId="77777777" w:rsidR="00CF523E" w:rsidRDefault="00CF5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5178" w14:textId="77777777" w:rsidR="001A228D" w:rsidRDefault="001A228D" w:rsidP="00CF523E">
      <w:r>
        <w:separator/>
      </w:r>
    </w:p>
  </w:footnote>
  <w:footnote w:type="continuationSeparator" w:id="0">
    <w:p w14:paraId="35E6C3FB" w14:textId="77777777" w:rsidR="001A228D" w:rsidRDefault="001A228D" w:rsidP="00CF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A7D9" w14:textId="77777777" w:rsidR="00CF523E" w:rsidRDefault="00CF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979424"/>
      <w:docPartObj>
        <w:docPartGallery w:val="Watermarks"/>
        <w:docPartUnique/>
      </w:docPartObj>
    </w:sdtPr>
    <w:sdtContent>
      <w:p w14:paraId="11EF1E74" w14:textId="39C9C9E0" w:rsidR="00CF523E" w:rsidRDefault="00000000">
        <w:pPr>
          <w:pStyle w:val="Header"/>
        </w:pPr>
        <w:r>
          <w:rPr>
            <w:noProof/>
          </w:rPr>
          <w:pict w14:anchorId="5DBC0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B52C" w14:textId="77777777" w:rsidR="00CF523E" w:rsidRDefault="00CF5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312"/>
    <w:multiLevelType w:val="hybridMultilevel"/>
    <w:tmpl w:val="2956232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5C1722"/>
    <w:multiLevelType w:val="hybridMultilevel"/>
    <w:tmpl w:val="051692E4"/>
    <w:lvl w:ilvl="0" w:tplc="E8302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DC2BCC"/>
    <w:multiLevelType w:val="hybridMultilevel"/>
    <w:tmpl w:val="2026C5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64929"/>
    <w:multiLevelType w:val="hybridMultilevel"/>
    <w:tmpl w:val="C9C8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599611">
    <w:abstractNumId w:val="2"/>
  </w:num>
  <w:num w:numId="2" w16cid:durableId="795174951">
    <w:abstractNumId w:val="1"/>
  </w:num>
  <w:num w:numId="3" w16cid:durableId="1133140454">
    <w:abstractNumId w:val="0"/>
  </w:num>
  <w:num w:numId="4" w16cid:durableId="4985426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n, Monica L">
    <w15:presenceInfo w15:providerId="AD" w15:userId="S::GINNM1@nationwide.com::8c91b70b-c34b-49e8-91c7-33a4ddec0e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F5"/>
    <w:rsid w:val="000075A5"/>
    <w:rsid w:val="0004750B"/>
    <w:rsid w:val="00065B43"/>
    <w:rsid w:val="00083F6E"/>
    <w:rsid w:val="000865FF"/>
    <w:rsid w:val="000B6ED7"/>
    <w:rsid w:val="00115699"/>
    <w:rsid w:val="0012300E"/>
    <w:rsid w:val="00172B4E"/>
    <w:rsid w:val="001A228D"/>
    <w:rsid w:val="001D4E8A"/>
    <w:rsid w:val="001E6C4C"/>
    <w:rsid w:val="0027442E"/>
    <w:rsid w:val="002E2B15"/>
    <w:rsid w:val="002F4BA4"/>
    <w:rsid w:val="00306743"/>
    <w:rsid w:val="00357AAB"/>
    <w:rsid w:val="00397218"/>
    <w:rsid w:val="003C5836"/>
    <w:rsid w:val="0041109C"/>
    <w:rsid w:val="00456819"/>
    <w:rsid w:val="0046036C"/>
    <w:rsid w:val="00467B06"/>
    <w:rsid w:val="004A1C66"/>
    <w:rsid w:val="004A2B27"/>
    <w:rsid w:val="004B1FF5"/>
    <w:rsid w:val="004C2F0E"/>
    <w:rsid w:val="0055322A"/>
    <w:rsid w:val="005556B3"/>
    <w:rsid w:val="005C0110"/>
    <w:rsid w:val="005D3AA4"/>
    <w:rsid w:val="005F420C"/>
    <w:rsid w:val="00603967"/>
    <w:rsid w:val="00604D4C"/>
    <w:rsid w:val="0060529D"/>
    <w:rsid w:val="00626515"/>
    <w:rsid w:val="006324B7"/>
    <w:rsid w:val="00676259"/>
    <w:rsid w:val="00684BDA"/>
    <w:rsid w:val="00690468"/>
    <w:rsid w:val="006C0191"/>
    <w:rsid w:val="00730CC3"/>
    <w:rsid w:val="00756E7D"/>
    <w:rsid w:val="0077254D"/>
    <w:rsid w:val="00775559"/>
    <w:rsid w:val="00781F50"/>
    <w:rsid w:val="0079722B"/>
    <w:rsid w:val="007B3C65"/>
    <w:rsid w:val="007B61AE"/>
    <w:rsid w:val="007D4026"/>
    <w:rsid w:val="007F77FF"/>
    <w:rsid w:val="008273A3"/>
    <w:rsid w:val="0087375E"/>
    <w:rsid w:val="00873A7A"/>
    <w:rsid w:val="00884389"/>
    <w:rsid w:val="008908D2"/>
    <w:rsid w:val="008912E4"/>
    <w:rsid w:val="008C506B"/>
    <w:rsid w:val="008E15AC"/>
    <w:rsid w:val="00906153"/>
    <w:rsid w:val="00916916"/>
    <w:rsid w:val="00931B11"/>
    <w:rsid w:val="00940B8C"/>
    <w:rsid w:val="00A03F0B"/>
    <w:rsid w:val="00A232F1"/>
    <w:rsid w:val="00A444C0"/>
    <w:rsid w:val="00A6421B"/>
    <w:rsid w:val="00A81C30"/>
    <w:rsid w:val="00AC3AD0"/>
    <w:rsid w:val="00AE3709"/>
    <w:rsid w:val="00AE6FDA"/>
    <w:rsid w:val="00B4186A"/>
    <w:rsid w:val="00B42297"/>
    <w:rsid w:val="00B54E74"/>
    <w:rsid w:val="00B74A0D"/>
    <w:rsid w:val="00B75091"/>
    <w:rsid w:val="00B85B57"/>
    <w:rsid w:val="00BA2A14"/>
    <w:rsid w:val="00BA755B"/>
    <w:rsid w:val="00BB0017"/>
    <w:rsid w:val="00BD012E"/>
    <w:rsid w:val="00BF2FB9"/>
    <w:rsid w:val="00C11750"/>
    <w:rsid w:val="00C17CF7"/>
    <w:rsid w:val="00C44226"/>
    <w:rsid w:val="00CF523E"/>
    <w:rsid w:val="00CF59A6"/>
    <w:rsid w:val="00D00BD3"/>
    <w:rsid w:val="00D13575"/>
    <w:rsid w:val="00D568C5"/>
    <w:rsid w:val="00DA5AA1"/>
    <w:rsid w:val="00E10209"/>
    <w:rsid w:val="00E42CB6"/>
    <w:rsid w:val="00EA0A8A"/>
    <w:rsid w:val="00EB2084"/>
    <w:rsid w:val="00ED17CB"/>
    <w:rsid w:val="00EE07C7"/>
    <w:rsid w:val="00EF0A0F"/>
    <w:rsid w:val="00F162F8"/>
    <w:rsid w:val="00F17F46"/>
    <w:rsid w:val="00F84992"/>
    <w:rsid w:val="00FC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3F855"/>
  <w15:chartTrackingRefBased/>
  <w15:docId w15:val="{D6AE1022-F917-406D-837D-033BEBE5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D3"/>
  </w:style>
  <w:style w:type="paragraph" w:styleId="Heading1">
    <w:name w:val="heading 1"/>
    <w:basedOn w:val="Normal"/>
    <w:next w:val="Normal"/>
    <w:link w:val="Heading1Char"/>
    <w:uiPriority w:val="9"/>
    <w:qFormat/>
    <w:rsid w:val="004B1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F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F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F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F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FF5"/>
    <w:rPr>
      <w:rFonts w:eastAsiaTheme="majorEastAsia" w:cstheme="majorBidi"/>
      <w:color w:val="272727" w:themeColor="text1" w:themeTint="D8"/>
    </w:rPr>
  </w:style>
  <w:style w:type="paragraph" w:styleId="Title">
    <w:name w:val="Title"/>
    <w:basedOn w:val="Normal"/>
    <w:next w:val="Normal"/>
    <w:link w:val="TitleChar"/>
    <w:uiPriority w:val="10"/>
    <w:qFormat/>
    <w:rsid w:val="004B1F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F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F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1FF5"/>
    <w:rPr>
      <w:i/>
      <w:iCs/>
      <w:color w:val="404040" w:themeColor="text1" w:themeTint="BF"/>
    </w:rPr>
  </w:style>
  <w:style w:type="paragraph" w:styleId="ListParagraph">
    <w:name w:val="List Paragraph"/>
    <w:basedOn w:val="Normal"/>
    <w:uiPriority w:val="34"/>
    <w:qFormat/>
    <w:rsid w:val="004B1FF5"/>
    <w:pPr>
      <w:ind w:left="720"/>
      <w:contextualSpacing/>
    </w:pPr>
  </w:style>
  <w:style w:type="character" w:styleId="IntenseEmphasis">
    <w:name w:val="Intense Emphasis"/>
    <w:basedOn w:val="DefaultParagraphFont"/>
    <w:uiPriority w:val="21"/>
    <w:qFormat/>
    <w:rsid w:val="004B1FF5"/>
    <w:rPr>
      <w:i/>
      <w:iCs/>
      <w:color w:val="0F4761" w:themeColor="accent1" w:themeShade="BF"/>
    </w:rPr>
  </w:style>
  <w:style w:type="paragraph" w:styleId="IntenseQuote">
    <w:name w:val="Intense Quote"/>
    <w:basedOn w:val="Normal"/>
    <w:next w:val="Normal"/>
    <w:link w:val="IntenseQuoteChar"/>
    <w:uiPriority w:val="30"/>
    <w:qFormat/>
    <w:rsid w:val="004B1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FF5"/>
    <w:rPr>
      <w:i/>
      <w:iCs/>
      <w:color w:val="0F4761" w:themeColor="accent1" w:themeShade="BF"/>
    </w:rPr>
  </w:style>
  <w:style w:type="character" w:styleId="IntenseReference">
    <w:name w:val="Intense Reference"/>
    <w:basedOn w:val="DefaultParagraphFont"/>
    <w:uiPriority w:val="32"/>
    <w:qFormat/>
    <w:rsid w:val="004B1FF5"/>
    <w:rPr>
      <w:b/>
      <w:bCs/>
      <w:smallCaps/>
      <w:color w:val="0F4761" w:themeColor="accent1" w:themeShade="BF"/>
      <w:spacing w:val="5"/>
    </w:rPr>
  </w:style>
  <w:style w:type="table" w:styleId="TableGrid">
    <w:name w:val="Table Grid"/>
    <w:basedOn w:val="TableNormal"/>
    <w:uiPriority w:val="39"/>
    <w:rsid w:val="00467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77FF"/>
  </w:style>
  <w:style w:type="character" w:styleId="CommentReference">
    <w:name w:val="annotation reference"/>
    <w:basedOn w:val="DefaultParagraphFont"/>
    <w:uiPriority w:val="99"/>
    <w:semiHidden/>
    <w:unhideWhenUsed/>
    <w:rsid w:val="00BF2FB9"/>
    <w:rPr>
      <w:sz w:val="16"/>
      <w:szCs w:val="16"/>
    </w:rPr>
  </w:style>
  <w:style w:type="paragraph" w:styleId="CommentText">
    <w:name w:val="annotation text"/>
    <w:basedOn w:val="Normal"/>
    <w:link w:val="CommentTextChar"/>
    <w:uiPriority w:val="99"/>
    <w:unhideWhenUsed/>
    <w:rsid w:val="00BF2FB9"/>
    <w:rPr>
      <w:sz w:val="20"/>
      <w:szCs w:val="20"/>
    </w:rPr>
  </w:style>
  <w:style w:type="character" w:customStyle="1" w:styleId="CommentTextChar">
    <w:name w:val="Comment Text Char"/>
    <w:basedOn w:val="DefaultParagraphFont"/>
    <w:link w:val="CommentText"/>
    <w:uiPriority w:val="99"/>
    <w:rsid w:val="00BF2FB9"/>
    <w:rPr>
      <w:sz w:val="20"/>
      <w:szCs w:val="20"/>
    </w:rPr>
  </w:style>
  <w:style w:type="paragraph" w:styleId="CommentSubject">
    <w:name w:val="annotation subject"/>
    <w:basedOn w:val="CommentText"/>
    <w:next w:val="CommentText"/>
    <w:link w:val="CommentSubjectChar"/>
    <w:uiPriority w:val="99"/>
    <w:semiHidden/>
    <w:unhideWhenUsed/>
    <w:rsid w:val="00BF2FB9"/>
    <w:rPr>
      <w:b/>
      <w:bCs/>
    </w:rPr>
  </w:style>
  <w:style w:type="character" w:customStyle="1" w:styleId="CommentSubjectChar">
    <w:name w:val="Comment Subject Char"/>
    <w:basedOn w:val="CommentTextChar"/>
    <w:link w:val="CommentSubject"/>
    <w:uiPriority w:val="99"/>
    <w:semiHidden/>
    <w:rsid w:val="00BF2FB9"/>
    <w:rPr>
      <w:b/>
      <w:bCs/>
      <w:sz w:val="20"/>
      <w:szCs w:val="20"/>
    </w:rPr>
  </w:style>
  <w:style w:type="character" w:styleId="Mention">
    <w:name w:val="Mention"/>
    <w:basedOn w:val="DefaultParagraphFont"/>
    <w:uiPriority w:val="99"/>
    <w:unhideWhenUsed/>
    <w:rsid w:val="00B54E74"/>
    <w:rPr>
      <w:color w:val="2B579A"/>
      <w:shd w:val="clear" w:color="auto" w:fill="E1DFDD"/>
    </w:rPr>
  </w:style>
  <w:style w:type="paragraph" w:styleId="Header">
    <w:name w:val="header"/>
    <w:basedOn w:val="Normal"/>
    <w:link w:val="HeaderChar"/>
    <w:uiPriority w:val="99"/>
    <w:unhideWhenUsed/>
    <w:rsid w:val="00CF523E"/>
    <w:pPr>
      <w:tabs>
        <w:tab w:val="center" w:pos="4680"/>
        <w:tab w:val="right" w:pos="9360"/>
      </w:tabs>
    </w:pPr>
  </w:style>
  <w:style w:type="character" w:customStyle="1" w:styleId="HeaderChar">
    <w:name w:val="Header Char"/>
    <w:basedOn w:val="DefaultParagraphFont"/>
    <w:link w:val="Header"/>
    <w:uiPriority w:val="99"/>
    <w:rsid w:val="00CF523E"/>
  </w:style>
  <w:style w:type="paragraph" w:styleId="Footer">
    <w:name w:val="footer"/>
    <w:basedOn w:val="Normal"/>
    <w:link w:val="FooterChar"/>
    <w:uiPriority w:val="99"/>
    <w:unhideWhenUsed/>
    <w:rsid w:val="00CF523E"/>
    <w:pPr>
      <w:tabs>
        <w:tab w:val="center" w:pos="4680"/>
        <w:tab w:val="right" w:pos="9360"/>
      </w:tabs>
    </w:pPr>
  </w:style>
  <w:style w:type="character" w:customStyle="1" w:styleId="FooterChar">
    <w:name w:val="Footer Char"/>
    <w:basedOn w:val="DefaultParagraphFont"/>
    <w:link w:val="Footer"/>
    <w:uiPriority w:val="99"/>
    <w:rsid w:val="00CF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23" Type="http://schemas.microsoft.com/office/2019/05/relationships/documenttasks" Target="documenttasks/documenttasks1.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92A3193-4817-4870-9882-65622B2E34D5}">
    <t:Anchor>
      <t:Comment id="1232261514"/>
    </t:Anchor>
    <t:History>
      <t:Event id="{91EC41F8-3AA2-4CA6-95A4-8B5CFAEAB742}" time="2025-12-01T15:57:50.764Z">
        <t:Attribution userId="S::GINNM1@nationwide.com::8c91b70b-c34b-49e8-91c7-33a4ddec0ecc" userProvider="AD" userName="Ginn, Monica L"/>
        <t:Anchor>
          <t:Comment id="1232261514"/>
        </t:Anchor>
        <t:Create/>
      </t:Event>
      <t:Event id="{3B12BFF0-3017-43C1-9D63-F1CE895AA4B5}" time="2025-12-01T15:57:50.764Z">
        <t:Attribution userId="S::GINNM1@nationwide.com::8c91b70b-c34b-49e8-91c7-33a4ddec0ecc" userProvider="AD" userName="Ginn, Monica L"/>
        <t:Anchor>
          <t:Comment id="1232261514"/>
        </t:Anchor>
        <t:Assign userId="S::Maria.Diano@nationwide.com::5f24bdc5-d1d0-4018-9b9a-87e66a190989" userProvider="AD" userName="Diano, Maria"/>
      </t:Event>
      <t:Event id="{765DAFC0-E2A6-4E03-912E-7B70F1999EBB}" time="2025-12-01T15:57:50.764Z">
        <t:Attribution userId="S::GINNM1@nationwide.com::8c91b70b-c34b-49e8-91c7-33a4ddec0ecc" userProvider="AD" userName="Ginn, Monica L"/>
        <t:Anchor>
          <t:Comment id="1232261514"/>
        </t:Anchor>
        <t:SetTitle title="@Diano, Maria I think we will need two separate procedures since SS&amp;C does not offer the W-2 correction method - thoughts?"/>
      </t:Event>
      <t:Event id="{A28D3441-0DCA-4DFA-BECB-CE7445544AD2}" time="2025-12-01T17:00:02.368Z">
        <t:Attribution userId="S::GINNM1@nationwide.com::8c91b70b-c34b-49e8-91c7-33a4ddec0ecc" userProvider="AD" userName="Ginn, Monica 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00541c-a0b9-4a77-a458-751a8bcbd7a8">
      <Terms xmlns="http://schemas.microsoft.com/office/infopath/2007/PartnerControls"/>
    </lcf76f155ced4ddcb4097134ff3c332f>
    <TaxCatchAll xmlns="34f47755-888b-49c6-9c4b-e668d324b9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D08C7BD40C114C959B18CDAACBF812" ma:contentTypeVersion="14" ma:contentTypeDescription="Create a new document." ma:contentTypeScope="" ma:versionID="d927cef6070da3314ee3b8287e132f10">
  <xsd:schema xmlns:xsd="http://www.w3.org/2001/XMLSchema" xmlns:xs="http://www.w3.org/2001/XMLSchema" xmlns:p="http://schemas.microsoft.com/office/2006/metadata/properties" xmlns:ns2="cc00541c-a0b9-4a77-a458-751a8bcbd7a8" xmlns:ns3="34f47755-888b-49c6-9c4b-e668d324b9e5" targetNamespace="http://schemas.microsoft.com/office/2006/metadata/properties" ma:root="true" ma:fieldsID="2ac15bb0ff40715d6fc0c6fc8a1a9f7e" ns2:_="" ns3:_="">
    <xsd:import namespace="cc00541c-a0b9-4a77-a458-751a8bcbd7a8"/>
    <xsd:import namespace="34f47755-888b-49c6-9c4b-e668d324b9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541c-a0b9-4a77-a458-751a8bcbd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b0a7d3-0568-4cb5-b861-555e3d31153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f47755-888b-49c6-9c4b-e668d324b9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05ad2c-7f32-4b9b-a03d-b81cfa8ea179}" ma:internalName="TaxCatchAll" ma:showField="CatchAllData" ma:web="34f47755-888b-49c6-9c4b-e668d324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A7281-956C-453C-9130-5D14A081E23B}">
  <ds:schemaRefs>
    <ds:schemaRef ds:uri="http://schemas.microsoft.com/office/2006/metadata/properties"/>
    <ds:schemaRef ds:uri="http://schemas.microsoft.com/office/infopath/2007/PartnerControls"/>
    <ds:schemaRef ds:uri="cc00541c-a0b9-4a77-a458-751a8bcbd7a8"/>
    <ds:schemaRef ds:uri="34f47755-888b-49c6-9c4b-e668d324b9e5"/>
  </ds:schemaRefs>
</ds:datastoreItem>
</file>

<file path=customXml/itemProps2.xml><?xml version="1.0" encoding="utf-8"?>
<ds:datastoreItem xmlns:ds="http://schemas.openxmlformats.org/officeDocument/2006/customXml" ds:itemID="{861A3245-7E69-40D8-8B41-E0CCB3941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541c-a0b9-4a77-a458-751a8bcbd7a8"/>
    <ds:schemaRef ds:uri="34f47755-888b-49c6-9c4b-e668d324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841C3-D9F6-46F3-B0E1-619AC30FA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1438</Words>
  <Characters>7479</Characters>
  <Application>Microsoft Office Word</Application>
  <DocSecurity>0</DocSecurity>
  <Lines>155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Links>
    <vt:vector size="6" baseType="variant">
      <vt:variant>
        <vt:i4>5308450</vt:i4>
      </vt:variant>
      <vt:variant>
        <vt:i4>0</vt:i4>
      </vt:variant>
      <vt:variant>
        <vt:i4>0</vt:i4>
      </vt:variant>
      <vt:variant>
        <vt:i4>5</vt:i4>
      </vt:variant>
      <vt:variant>
        <vt:lpwstr>mailto:Maria.Diano@nationwide.com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Cohen</dc:creator>
  <cp:keywords/>
  <dc:description/>
  <cp:lastModifiedBy>Caldwell, McKenzie</cp:lastModifiedBy>
  <cp:revision>8</cp:revision>
  <cp:lastPrinted>2025-09-22T00:28:00Z</cp:lastPrinted>
  <dcterms:created xsi:type="dcterms:W3CDTF">2025-12-01T23:56:00Z</dcterms:created>
  <dcterms:modified xsi:type="dcterms:W3CDTF">2025-12-08T16:57:00Z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0x01010039D08C7BD40C114C959B18CDAACBF812</vt:lpwstr>
  </property>
  <property fmtid="{D5CDD505-2E9C-101B-9397-08002B2CF9AE}" pid="3" name="MSIP_Label_92ea8e88-16c4-4b55-a945-7bd6248db4bf_Enabled">
    <vt:lpwstr>true</vt:lpwstr>
  </property>
  <property fmtid="{D5CDD505-2E9C-101B-9397-08002B2CF9AE}" pid="4" name="MSIP_Label_92ea8e88-16c4-4b55-a945-7bd6248db4bf_SetDate">
    <vt:lpwstr>2025-11-25T14:38:58Z</vt:lpwstr>
  </property>
  <property fmtid="{D5CDD505-2E9C-101B-9397-08002B2CF9AE}" pid="5" name="MSIP_Label_92ea8e88-16c4-4b55-a945-7bd6248db4bf_Method">
    <vt:lpwstr>Standard</vt:lpwstr>
  </property>
  <property fmtid="{D5CDD505-2E9C-101B-9397-08002B2CF9AE}" pid="6" name="MSIP_Label_92ea8e88-16c4-4b55-a945-7bd6248db4bf_Name">
    <vt:lpwstr>Internal</vt:lpwstr>
  </property>
  <property fmtid="{D5CDD505-2E9C-101B-9397-08002B2CF9AE}" pid="7" name="MSIP_Label_92ea8e88-16c4-4b55-a945-7bd6248db4bf_SiteId">
    <vt:lpwstr>22140e4c-d390-45c2-b297-a26c516dc461</vt:lpwstr>
  </property>
  <property fmtid="{D5CDD505-2E9C-101B-9397-08002B2CF9AE}" pid="8" name="MSIP_Label_92ea8e88-16c4-4b55-a945-7bd6248db4bf_ActionId">
    <vt:lpwstr>105b4c84-d89b-4d46-a042-088953e465fa</vt:lpwstr>
  </property>
  <property fmtid="{D5CDD505-2E9C-101B-9397-08002B2CF9AE}" pid="9" name="MSIP_Label_92ea8e88-16c4-4b55-a945-7bd6248db4bf_ContentBits">
    <vt:lpwstr>0</vt:lpwstr>
  </property>
  <property fmtid="{D5CDD505-2E9C-101B-9397-08002B2CF9AE}" pid="10" name="MSIP_Label_92ea8e88-16c4-4b55-a945-7bd6248db4bf_Tag">
    <vt:lpwstr>10, 3, 0, 1</vt:lpwstr>
  </property>
  <property fmtid="{D5CDD505-2E9C-101B-9397-08002B2CF9AE}" pid="11" name="MediaServiceImageTags">
    <vt:lpwstr/>
  </property>
</Properties>
</file>